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Style w:val="全文一级大标题"/>
        <w:pageBreakBefore w:val="off"/>
        <w:tabs/>
        <w:wordWrap w:val="on"/>
        <w:spacing w:before="0" w:after="0" w:line="640" w:lineRule="exact"/>
        <w:ind w:left="0" w:right="0"/>
        <w:jc w:val="center"/>
        <w:textAlignment w:val="auto"/>
        <w:rPr>
          <w:sz w:val="44"/>
        </w:rPr>
      </w:pPr>
      <w:bookmarkStart w:name="771c3c5ee36d4bf69fb202bb3c5e344e" w:id="1001"/>
      <w:r>
        <w:rPr>
          <w:rFonts w:ascii="黑体" w:hAnsi="黑体" w:cs="黑体" w:eastAsia="黑体"/>
          <w:sz w:val="44"/>
          <w:spacing w:val="0"/>
          <w:b w:val="on"/>
          <w:i w:val="off"/>
        </w:rPr>
        <w:t>深基坑工程常见安全隐患</w:t>
      </w:r>
      <w:bookmarkEnd w:id="1001"/>
    </w:p>
    <w:p>
      <w:pPr>
        <w:pStyle w:val="正文 文本"/>
        <w:pageBreakBefore w:val="off"/>
        <w:numPr>
          <w:ilvl w:val="0"/>
          <w:numId w:val="1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02"/>
      <w:r>
        <w:rPr>
          <w:rFonts w:ascii="宋体" w:hAnsi="宋体" w:cs="宋体" w:eastAsia="宋体"/>
          <w:sz w:val="32"/>
          <w:spacing w:val="0"/>
          <w:b w:val="off"/>
          <w:i w:val="off"/>
        </w:rPr>
        <w:t>支护与开挖违规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：未按专项方案分层开挖，存在超挖现象；支护结构（如土钉墙、排桩）施工滞后，桩间土流失未及时封堵；基坑边堆载超标（如钢筋、土方距坑边&lt;2m）。</w:t>
      </w:r>
      <w:bookmarkEnd w:id="1002"/>
    </w:p>
    <w:p>
      <w:pPr>
        <w:pStyle w:val="正文 文本"/>
        <w:pageBreakBefore w:val="off"/>
        <w:numPr>
          <w:ilvl w:val="0"/>
          <w:numId w:val="1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03"/>
      <w:r>
        <w:rPr>
          <w:rFonts w:ascii="宋体" w:hAnsi="宋体" w:cs="宋体" w:eastAsia="宋体"/>
          <w:sz w:val="32"/>
          <w:spacing w:val="0"/>
          <w:b w:val="off"/>
          <w:i w:val="off"/>
        </w:rPr>
        <w:t>排水与监测失效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：坑底排水沟堵塞，积水未及时抽排；降水井运行异常，地下水位未控制在设计要求范围内；监测点被破坏或覆盖，数据造假或未按时监测。</w:t>
      </w:r>
      <w:bookmarkEnd w:id="1003"/>
    </w:p>
    <w:p>
      <w:pPr>
        <w:pStyle w:val="正文 文本"/>
        <w:pageBreakBefore w:val="off"/>
        <w:numPr>
          <w:ilvl w:val="0"/>
          <w:numId w:val="1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04"/>
      <w:r>
        <w:rPr>
          <w:rFonts w:ascii="宋体" w:hAnsi="宋体" w:cs="宋体" w:eastAsia="宋体"/>
          <w:sz w:val="32"/>
          <w:spacing w:val="0"/>
          <w:b w:val="off"/>
          <w:i w:val="off"/>
        </w:rPr>
        <w:t>防护缺失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：基坑周边无防护栏杆或栏杆高度不足（&lt;1.2m）；上下通道未设专用爬梯，作业人员攀爬支护结构；夜间无警示照明。</w:t>
      </w:r>
      <w:bookmarkEnd w:id="1004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2c26a39288204868a8498b076e3441e2" w:id="1005"/>
      <w:r>
        <w:rPr>
          <w:rFonts w:ascii="黑体" w:hAnsi="黑体" w:cs="黑体" w:eastAsia="黑体"/>
          <w:sz w:val="36"/>
          <w:spacing w:val="0"/>
          <w:b w:val="on"/>
          <w:i w:val="off"/>
        </w:rPr>
        <w:t>高支模工程常见安全隐患</w:t>
      </w:r>
      <w:bookmarkEnd w:id="1005"/>
    </w:p>
    <w:p>
      <w:pPr>
        <w:pStyle w:val="正文 文本"/>
        <w:pageBreakBefore w:val="off"/>
        <w:numPr>
          <w:ilvl w:val="0"/>
          <w:numId w:val="2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06"/>
      <w:r>
        <w:rPr>
          <w:rFonts w:ascii="宋体" w:hAnsi="宋体" w:cs="宋体" w:eastAsia="宋体"/>
          <w:sz w:val="32"/>
          <w:spacing w:val="0"/>
          <w:b w:val="off"/>
          <w:i w:val="off"/>
        </w:rPr>
        <w:t>架体构造缺陷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：立杆间距超标（如&gt;1.2m），水平杆、扫地杆缺失；剪刀撑未连续设置，扣件拧紧力矩不足（&lt;40N·m）；立杆底部悬空或垫板尺寸不足。</w:t>
      </w:r>
      <w:bookmarkEnd w:id="1006"/>
    </w:p>
    <w:p>
      <w:pPr>
        <w:pStyle w:val="正文 文本"/>
        <w:pageBreakBefore w:val="off"/>
        <w:numPr>
          <w:ilvl w:val="0"/>
          <w:numId w:val="2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07"/>
      <w:r>
        <w:rPr>
          <w:rFonts w:ascii="宋体" w:hAnsi="宋体" w:cs="宋体" w:eastAsia="宋体"/>
          <w:sz w:val="32"/>
          <w:spacing w:val="0"/>
          <w:b w:val="off"/>
          <w:i w:val="off"/>
        </w:rPr>
        <w:t>材料与荷载失控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：使用锈蚀、变形的钢管或裂纹扣件；混凝土浇筑时单侧堆料，导致架体偏心受力；作业层超载（如集中堆放模板、钢筋）。</w:t>
      </w:r>
      <w:bookmarkEnd w:id="1007"/>
    </w:p>
    <w:p>
      <w:pPr>
        <w:pStyle w:val="正文 文本"/>
        <w:pageBreakBefore w:val="off"/>
        <w:numPr>
          <w:ilvl w:val="0"/>
          <w:numId w:val="2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08"/>
      <w:r>
        <w:rPr>
          <w:rFonts w:ascii="宋体" w:hAnsi="宋体" w:cs="宋体" w:eastAsia="宋体"/>
          <w:sz w:val="32"/>
          <w:spacing w:val="0"/>
          <w:b w:val="off"/>
          <w:i w:val="off"/>
        </w:rPr>
        <w:t>验收与监测流于形式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：支架搭设后未经验收即投入使用；浇筑过程中未安排专人监测架体变形，发现沉降、异响未及时停工。</w:t>
      </w:r>
      <w:bookmarkEnd w:id="1008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fe93d1280e004d60ab20b1be42fd7c23" w:id="1009"/>
      <w:r>
        <w:rPr>
          <w:rFonts w:ascii="黑体" w:hAnsi="黑体" w:cs="黑体" w:eastAsia="黑体"/>
          <w:sz w:val="36"/>
          <w:spacing w:val="0"/>
          <w:b w:val="on"/>
          <w:i w:val="off"/>
        </w:rPr>
        <w:t>脚手架工程常见安全隐患</w:t>
      </w:r>
      <w:bookmarkEnd w:id="1009"/>
    </w:p>
    <w:p>
      <w:pPr>
        <w:pStyle w:val="正文 文本"/>
        <w:pageBreakBefore w:val="off"/>
        <w:numPr>
          <w:ilvl w:val="0"/>
          <w:numId w:val="3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10"/>
      <w:r>
        <w:rPr>
          <w:rFonts w:ascii="宋体" w:hAnsi="宋体" w:cs="宋体" w:eastAsia="宋体"/>
          <w:sz w:val="32"/>
          <w:spacing w:val="0"/>
          <w:b w:val="off"/>
          <w:i w:val="off"/>
        </w:rPr>
        <w:t>连墙件与基础问题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：连墙件数量不足（如“三步三跨”改为“四步四跨”），擅自拆除连墙件；立杆基础未硬化，存在沉降或不均匀变形。</w:t>
      </w:r>
      <w:bookmarkEnd w:id="1010"/>
    </w:p>
    <w:p>
      <w:pPr>
        <w:pStyle w:val="正文 文本"/>
        <w:pageBreakBefore w:val="off"/>
        <w:numPr>
          <w:ilvl w:val="0"/>
          <w:numId w:val="3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11"/>
      <w:r>
        <w:rPr>
          <w:rFonts w:ascii="宋体" w:hAnsi="宋体" w:cs="宋体" w:eastAsia="宋体"/>
          <w:sz w:val="32"/>
          <w:spacing w:val="0"/>
          <w:b w:val="off"/>
          <w:i w:val="off"/>
        </w:rPr>
        <w:t>脚手板与防护缺陷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：脚手板未满铺，存在探头板（板头&gt;150mm未固定）；外侧密目网破损或未封闭，挡脚板缺失；卸料平台与架体连接，未独立设置。</w:t>
      </w:r>
      <w:bookmarkEnd w:id="1011"/>
    </w:p>
    <w:p>
      <w:pPr>
        <w:pStyle w:val="正文 文本"/>
        <w:pageBreakBefore w:val="off"/>
        <w:numPr>
          <w:ilvl w:val="0"/>
          <w:numId w:val="3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12"/>
      <w:r>
        <w:rPr>
          <w:rFonts w:ascii="宋体" w:hAnsi="宋体" w:cs="宋体" w:eastAsia="宋体"/>
          <w:sz w:val="32"/>
          <w:spacing w:val="0"/>
          <w:b w:val="off"/>
          <w:i w:val="off"/>
        </w:rPr>
        <w:t>使用与拆除违规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：架体上堆放大量材料（超载），悬挂起重设备；拆除时上下同时作业，抛扔构配件；警戒区域未设专人看守。</w:t>
      </w:r>
      <w:bookmarkEnd w:id="1012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18c73a6171824bbe86166d10297f7558" w:id="1013"/>
      <w:r>
        <w:rPr>
          <w:rFonts w:ascii="黑体" w:hAnsi="黑体" w:cs="黑体" w:eastAsia="黑体"/>
          <w:sz w:val="36"/>
          <w:spacing w:val="0"/>
          <w:b w:val="on"/>
          <w:i w:val="off"/>
        </w:rPr>
        <w:t>起重吊装工程常见安全隐患</w:t>
      </w:r>
      <w:bookmarkEnd w:id="1013"/>
    </w:p>
    <w:p>
      <w:pPr>
        <w:pStyle w:val="正文 文本"/>
        <w:pageBreakBefore w:val="off"/>
        <w:numPr>
          <w:ilvl w:val="0"/>
          <w:numId w:val="4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14"/>
      <w:r>
        <w:rPr>
          <w:rFonts w:ascii="宋体" w:hAnsi="宋体" w:cs="宋体" w:eastAsia="宋体"/>
          <w:sz w:val="32"/>
          <w:spacing w:val="0"/>
          <w:b w:val="off"/>
          <w:i w:val="off"/>
        </w:rPr>
        <w:t>设备与索具缺陷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：起重机力矩限制器、限位器失效；钢丝绳断丝超标（&gt;5%）或断股，吊钩无防脱装置；吊带磨损、割伤未更换。</w:t>
      </w:r>
      <w:bookmarkEnd w:id="1014"/>
    </w:p>
    <w:p>
      <w:pPr>
        <w:pStyle w:val="正文 文本"/>
        <w:pageBreakBefore w:val="off"/>
        <w:numPr>
          <w:ilvl w:val="0"/>
          <w:numId w:val="4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15"/>
      <w:r>
        <w:rPr>
          <w:rFonts w:ascii="宋体" w:hAnsi="宋体" w:cs="宋体" w:eastAsia="宋体"/>
          <w:sz w:val="32"/>
          <w:spacing w:val="0"/>
          <w:b w:val="off"/>
          <w:i w:val="off"/>
        </w:rPr>
        <w:t>作业环境风险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：吊装区域未设警戒，非作业人员随意进入；作业地面松软，支腿未垫枕木或垫板；与架空线路安全距离不足（如&lt;6m）。</w:t>
      </w:r>
      <w:bookmarkEnd w:id="1015"/>
    </w:p>
    <w:p>
      <w:pPr>
        <w:pStyle w:val="正文 文本"/>
        <w:pageBreakBefore w:val="off"/>
        <w:numPr>
          <w:ilvl w:val="0"/>
          <w:numId w:val="4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16"/>
      <w:r>
        <w:rPr>
          <w:rFonts w:ascii="宋体" w:hAnsi="宋体" w:cs="宋体" w:eastAsia="宋体"/>
          <w:sz w:val="32"/>
          <w:spacing w:val="0"/>
          <w:b w:val="off"/>
          <w:i w:val="off"/>
        </w:rPr>
        <w:t>操作违规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：无证人员操作起重机，信号指挥不清晰；斜吊、超载吊装，吊物绑扎不牢；大风（≥6级）天气强行作业。</w:t>
      </w:r>
      <w:bookmarkEnd w:id="1016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f1de9eaa7753449ea3afd53ec9b56fca" w:id="1017"/>
      <w:r>
        <w:rPr>
          <w:rFonts w:ascii="黑体" w:hAnsi="黑体" w:cs="黑体" w:eastAsia="黑体"/>
          <w:sz w:val="36"/>
          <w:spacing w:val="0"/>
          <w:b w:val="on"/>
          <w:i w:val="off"/>
        </w:rPr>
        <w:t>临时用电工程常见安全隐患</w:t>
      </w:r>
      <w:bookmarkEnd w:id="1017"/>
    </w:p>
    <w:p>
      <w:pPr>
        <w:pStyle w:val="正文 文本"/>
        <w:pageBreakBefore w:val="off"/>
        <w:numPr>
          <w:ilvl w:val="0"/>
          <w:numId w:val="5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18"/>
      <w:r>
        <w:rPr>
          <w:rFonts w:ascii="宋体" w:hAnsi="宋体" w:cs="宋体" w:eastAsia="宋体"/>
          <w:sz w:val="32"/>
          <w:spacing w:val="0"/>
          <w:b w:val="off"/>
          <w:i w:val="off"/>
        </w:rPr>
        <w:t>配电系统违规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：未采用TN-S系统，保护零线（PE线）断开；漏电保护器参数不匹配（如开关箱使用100mA漏保）；电缆拖地、泡水或私拉乱接。</w:t>
      </w:r>
      <w:bookmarkEnd w:id="1018"/>
    </w:p>
    <w:p>
      <w:pPr>
        <w:pStyle w:val="正文 文本"/>
        <w:pageBreakBefore w:val="off"/>
        <w:numPr>
          <w:ilvl w:val="0"/>
          <w:numId w:val="5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19"/>
      <w:r>
        <w:rPr>
          <w:rFonts w:ascii="宋体" w:hAnsi="宋体" w:cs="宋体" w:eastAsia="宋体"/>
          <w:sz w:val="32"/>
          <w:spacing w:val="0"/>
          <w:b w:val="off"/>
          <w:i w:val="off"/>
        </w:rPr>
        <w:t>设备使用不当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：电动工具未接地，潮湿环境使用Ⅰ类工具；电焊机无二次空载降压保护，焊把线绝缘层破损；配电箱无门、无锁，箱内杂物堆积。</w:t>
      </w:r>
      <w:bookmarkEnd w:id="1019"/>
    </w:p>
    <w:p>
      <w:pPr>
        <w:pStyle w:val="正文 文本"/>
        <w:pageBreakBefore w:val="off"/>
        <w:numPr>
          <w:ilvl w:val="0"/>
          <w:numId w:val="5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20"/>
      <w:r>
        <w:rPr>
          <w:rFonts w:ascii="宋体" w:hAnsi="宋体" w:cs="宋体" w:eastAsia="宋体"/>
          <w:sz w:val="32"/>
          <w:spacing w:val="0"/>
          <w:b w:val="off"/>
          <w:i w:val="off"/>
        </w:rPr>
        <w:t>外电防护不足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：外电线路与脚手架、起重机械距离不足，未设绝缘隔离防护；防护设施无警示标志，易被碰撞。</w:t>
      </w:r>
      <w:bookmarkEnd w:id="1020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87da09dc17db4da99f109a1e6553602b" w:id="1021"/>
      <w:r>
        <w:rPr>
          <w:rFonts w:ascii="黑体" w:hAnsi="黑体" w:cs="黑体" w:eastAsia="黑体"/>
          <w:sz w:val="36"/>
          <w:spacing w:val="0"/>
          <w:b w:val="on"/>
          <w:i w:val="off"/>
        </w:rPr>
        <w:t>高处作业常见安全隐患</w:t>
      </w:r>
      <w:bookmarkEnd w:id="1021"/>
    </w:p>
    <w:p>
      <w:pPr>
        <w:pStyle w:val="正文 文本"/>
        <w:pageBreakBefore w:val="off"/>
        <w:numPr>
          <w:ilvl w:val="0"/>
          <w:numId w:val="6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22"/>
      <w:r>
        <w:rPr>
          <w:rFonts w:ascii="宋体" w:hAnsi="宋体" w:cs="宋体" w:eastAsia="宋体"/>
          <w:sz w:val="32"/>
          <w:spacing w:val="0"/>
          <w:b w:val="off"/>
          <w:i w:val="off"/>
        </w:rPr>
        <w:t>临边洞口防护缺失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：阳台、楼梯临边无防护栏杆；电梯井口防护门高度不足（&lt;1.8m）或常开；预留洞口未覆盖或盖板未固定。</w:t>
      </w:r>
      <w:bookmarkEnd w:id="1022"/>
    </w:p>
    <w:p>
      <w:pPr>
        <w:pStyle w:val="正文 文本"/>
        <w:pageBreakBefore w:val="off"/>
        <w:numPr>
          <w:ilvl w:val="0"/>
          <w:numId w:val="6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23"/>
      <w:r>
        <w:rPr>
          <w:rFonts w:ascii="宋体" w:hAnsi="宋体" w:cs="宋体" w:eastAsia="宋体"/>
          <w:sz w:val="32"/>
          <w:spacing w:val="0"/>
          <w:b w:val="off"/>
          <w:i w:val="off"/>
        </w:rPr>
        <w:t>个人防护不到位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：作业人员未系安全带，或安全带低挂高用；穿拖鞋、硬底鞋作业；酒后进行高处作业。</w:t>
      </w:r>
      <w:bookmarkEnd w:id="1023"/>
    </w:p>
    <w:p>
      <w:pPr>
        <w:pStyle w:val="正文 文本"/>
        <w:pageBreakBefore w:val="off"/>
        <w:numPr>
          <w:ilvl w:val="0"/>
          <w:numId w:val="6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" w:id="1024"/>
      <w:r>
        <w:rPr>
          <w:rFonts w:ascii="宋体" w:hAnsi="宋体" w:cs="宋体" w:eastAsia="宋体"/>
          <w:sz w:val="32"/>
          <w:spacing w:val="0"/>
          <w:b w:val="off"/>
          <w:i w:val="off"/>
        </w:rPr>
        <w:t>作业平台缺陷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：悬挑式卸料平台锚固不牢，限载牌缺失；移动操作平台无护栏或刹车失效；交叉作业无隔离层，工具材料抛掷。</w:t>
      </w:r>
      <w:bookmarkEnd w:id="1024"/>
    </w:p>
    <w:p>
      <w:pPr>
        <w:jc w:val="left"/>
      </w:pPr>
      <w:r>
        <w:rPr/>
        <w:t>(AI生成)</w:t>
      </w:r>
    </w:p>
    <w:sectPr>
      <w:footerReference r:id="rId5"/>
      <w:headerReference r:id="rId6" w:type="default"/>
      <w:pgSz w:w="11900" w:h="16820"/>
      <w:pgMar w:left="1780" w:top="1440" w:right="1780" w:bottom="1440" w:header="840" w:footer="8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5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全文一级大标题">
    <w:name w:val="全文一级大标题"/>
    <w:aliases w:val="全文一级大标题"/>
    <w:uiPriority w:val="1"/>
    <w:qFormat/>
    <w:pPr>
      <w:spacing w:lineRule="exact" w:line="640"/>
      <w:ind w:left="0" w:right="0"/>
      <w:jc w:val="center"/>
    </w:pPr>
    <w:rPr>
      <w:rFonts w:eastAsia="黑体" w:ascii="黑体"/>
      <w:sz w:val="44"/>
      <w:b w:val="1"/>
    </w:rPr>
  </w:style>
  <w:style w:type="paragraph" w:styleId="正文 文本">
    <w:name w:val="正文 文本"/>
    <w:aliases w:val="正文 文本"/>
    <w:uiPriority w:val="1"/>
    <w:qFormat/>
    <w:pPr>
      <w:spacing w:lineRule="exact" w:line="560"/>
      <w:ind w:left="0" w:right="0"/>
      <w:jc w:val="both"/>
    </w:pPr>
    <w:rPr>
      <w:rFonts w:eastAsia="宋体" w:ascii="宋体"/>
      <w:sz w:val="32"/>
    </w:rPr>
  </w:style>
  <w:style w:type="paragraph" w:styleId="正文一级标题">
    <w:name w:val="正文一级标题"/>
    <w:aliases w:val="正文一级标题"/>
    <w:uiPriority w:val="1"/>
    <w:qFormat/>
    <w:pPr>
      <w:spacing w:lineRule="exact" w:line="560"/>
      <w:ind w:left="0" w:right="0" w:firstLine="720"/>
      <w:jc w:val="both"/>
    </w:pPr>
    <w:rPr>
      <w:rFonts w:eastAsia="黑体" w:ascii="黑体"/>
      <w:sz w:val="36"/>
      <w:b w:val="1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footer1.xml" Type="http://schemas.openxmlformats.org/officeDocument/2006/relationships/footer"/><Relationship Id="rId6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2026-04-16T07:26:45Z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Cy/X+U3kWtCCu2IEQ2UJhNqjpIuCkReJI+SYNMbOwek=","ProduceID":"doc_sgs:bff3c3a91ef5476090bd5c4bfa368ba6","ReservedCode2":"Cy/X+U3kWtCCu2IEQ2UJhNqjpIuCkReJI+SYNMbOwek=","PropagateID":"doc_sgs:bff3c3a91ef5476090bd5c4bfa368ba6","ContentProducer":"001191440101MA9Y9T4H7A00000"}</vt:lpwstr>
  </property>
</Properties>
</file>