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5C" w:rsidRPr="00612A5C" w:rsidRDefault="00612A5C" w:rsidP="00612A5C">
      <w:pPr>
        <w:spacing w:line="360" w:lineRule="auto"/>
        <w:jc w:val="center"/>
        <w:rPr>
          <w:rFonts w:asciiTheme="majorEastAsia" w:eastAsiaTheme="majorEastAsia" w:hAnsiTheme="majorEastAsia" w:hint="eastAsia"/>
          <w:b/>
          <w:sz w:val="32"/>
          <w:szCs w:val="28"/>
        </w:rPr>
      </w:pPr>
      <w:r w:rsidRPr="00612A5C">
        <w:rPr>
          <w:rFonts w:asciiTheme="majorEastAsia" w:eastAsiaTheme="majorEastAsia" w:hAnsiTheme="majorEastAsia" w:hint="eastAsia"/>
          <w:b/>
          <w:sz w:val="32"/>
          <w:szCs w:val="28"/>
        </w:rPr>
        <w:t>住房和城乡建设部关于进一步加强</w:t>
      </w:r>
    </w:p>
    <w:p w:rsidR="00612A5C" w:rsidRPr="00612A5C" w:rsidRDefault="00612A5C" w:rsidP="00612A5C">
      <w:pPr>
        <w:spacing w:line="360" w:lineRule="auto"/>
        <w:jc w:val="center"/>
        <w:rPr>
          <w:rFonts w:asciiTheme="majorEastAsia" w:eastAsiaTheme="majorEastAsia" w:hAnsiTheme="majorEastAsia" w:hint="eastAsia"/>
          <w:b/>
          <w:sz w:val="32"/>
          <w:szCs w:val="28"/>
        </w:rPr>
      </w:pPr>
      <w:r w:rsidRPr="00612A5C">
        <w:rPr>
          <w:rFonts w:asciiTheme="majorEastAsia" w:eastAsiaTheme="majorEastAsia" w:hAnsiTheme="majorEastAsia" w:hint="eastAsia"/>
          <w:b/>
          <w:sz w:val="32"/>
          <w:szCs w:val="28"/>
        </w:rPr>
        <w:t>房屋建筑和市政基础设施工程</w:t>
      </w:r>
    </w:p>
    <w:p w:rsidR="00612A5C" w:rsidRPr="00612A5C" w:rsidRDefault="00612A5C" w:rsidP="00612A5C">
      <w:pPr>
        <w:spacing w:line="360" w:lineRule="auto"/>
        <w:jc w:val="center"/>
        <w:rPr>
          <w:rFonts w:asciiTheme="majorEastAsia" w:eastAsiaTheme="majorEastAsia" w:hAnsiTheme="majorEastAsia" w:hint="eastAsia"/>
          <w:b/>
          <w:sz w:val="32"/>
          <w:szCs w:val="28"/>
        </w:rPr>
      </w:pPr>
      <w:r w:rsidRPr="00612A5C">
        <w:rPr>
          <w:rFonts w:asciiTheme="majorEastAsia" w:eastAsiaTheme="majorEastAsia" w:hAnsiTheme="majorEastAsia" w:hint="eastAsia"/>
          <w:b/>
          <w:sz w:val="32"/>
          <w:szCs w:val="28"/>
        </w:rPr>
        <w:t>招标投标监管的指导意见</w:t>
      </w:r>
    </w:p>
    <w:p w:rsidR="00612A5C" w:rsidRPr="00612A5C" w:rsidRDefault="00612A5C" w:rsidP="00612A5C">
      <w:pPr>
        <w:spacing w:line="360" w:lineRule="auto"/>
        <w:jc w:val="center"/>
        <w:rPr>
          <w:rFonts w:asciiTheme="minorEastAsia" w:hAnsiTheme="minorEastAsia" w:hint="eastAsia"/>
          <w:sz w:val="28"/>
          <w:szCs w:val="28"/>
        </w:rPr>
      </w:pPr>
      <w:r w:rsidRPr="00612A5C">
        <w:rPr>
          <w:rFonts w:asciiTheme="minorEastAsia" w:hAnsiTheme="minorEastAsia" w:hint="eastAsia"/>
          <w:sz w:val="28"/>
          <w:szCs w:val="28"/>
        </w:rPr>
        <w:t>建市规〔2019〕11号</w:t>
      </w:r>
    </w:p>
    <w:p w:rsidR="00612A5C" w:rsidRPr="00612A5C" w:rsidRDefault="00612A5C" w:rsidP="00612A5C">
      <w:pPr>
        <w:spacing w:line="360" w:lineRule="auto"/>
        <w:rPr>
          <w:rFonts w:asciiTheme="minorEastAsia" w:hAnsiTheme="minorEastAsia"/>
          <w:sz w:val="28"/>
          <w:szCs w:val="28"/>
        </w:rPr>
      </w:pP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各省、自治区住房和城乡建设厅，直辖市住房和城乡建设（管）委，新疆生产建设兵团住房和城乡建设局：</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工程招标投标制度在维护国家利益和社会公共利益、规范建筑市场行为、提高投资效益、促进廉政建设等方面发挥了重要作用。但是，当前工程招标投标活动中招标人主体责任缺失，串通投标、弄虚作假违法违规问题依然突出。为深入贯彻落实《国务院办公厅关于促进建筑业持续健康发展的意见》（国办发〔2017〕19号）、《国务院办公厅转发住房城乡建设部关于完善质量保障体系提升建筑工程品质指导意见的通知》（国办函〔2019〕92号），积极推进房屋建筑和市政基础设施工程招标投标制度改革，加强相关工程招标投标活动监管，严厉打击招标投标环节违法违规问题，维护建筑市场秩序，现提出如下意见。</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一、夯实招标人的权责</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一）落实招标人首要责任。工程招标投标活动依法应由招标人负责，招标人自主决定发起招标，自主选择工程建设项目招标代理机构、资格审查方式、招标人代表和评标方法。夯实招标投标活动中各方主体责任，党员干部严禁利用职权或者职务上的影响干预招标投标</w:t>
      </w:r>
      <w:r w:rsidRPr="00612A5C">
        <w:rPr>
          <w:rFonts w:asciiTheme="minorEastAsia" w:hAnsiTheme="minorEastAsia" w:hint="eastAsia"/>
          <w:sz w:val="28"/>
          <w:szCs w:val="28"/>
        </w:rPr>
        <w:lastRenderedPageBreak/>
        <w:t>活动。</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二）政府投资工程鼓励集中建设管理方式。实施相对集中专业化管理，采用组建集中建设机构或竞争选择企业实行代建的模式，严格控制工程项目投资，科学确定并严格执行合理的工程建设周期，保障工程质量安全，竣工验收后移交使用单位，提高政府投资工程的专业化管理水平。</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二、优化招标投标方法</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三）缩小招标范围。社会投资的房屋建筑工程，建设单位自主决定发包方式，社会投资的市政基础设施工程依法决定发包方式。政府投资工程鼓励采用全过程工程咨询、工程总承包方式，减少招标投标层级，依据合同约定或经招标人同意，由总承包单位自主决定专业分包，招标人不得指定分包或肢解工程。</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四）探索推进评定分离方法。招标人应科学制定评标定标方法，组建评标委员会，通过资格审查强化对投标人的信用状况和履约能力审查，围绕高质量发展要求优先考虑创新、绿色等评审因素。评标委员会对投标文件的技术、质量、安全、工期的控制能力等因素提供技术咨询建议，向招标人推荐合格的中标候选人。由招标人按照科学、民主决策原则，建立健全内部控制程序和决策约束机制，根据报价情况和技术咨询建议，择优确定中标人，实现招标投标过程的规范透明，结果的合法公正，依法依规接受监督。</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（五）全面推行电子招标投标。全面推行招标投标交易全过程电子化和异地远程评标，实现招标投标活动信息公开。积极创新电子化</w:t>
      </w:r>
      <w:r w:rsidRPr="00612A5C">
        <w:rPr>
          <w:rFonts w:asciiTheme="minorEastAsia" w:hAnsiTheme="minorEastAsia" w:hint="eastAsia"/>
          <w:sz w:val="28"/>
          <w:szCs w:val="28"/>
        </w:rPr>
        <w:lastRenderedPageBreak/>
        <w:t>行政监督，招标投标交易平台应当与本地建筑市场监管平台实现数据对接，加快推动交易、监管数据互联共享，加大全国建筑市场监管公共服务平台工程项目数据信息的归集和共享力度。</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六）推动市场形成价格机制。实施工程造价供给侧结构性改革，鼓励地方建立工程造价数据库和发布市场化的造价指标指数，促进通过市场竞争形成合同价。对标国际，建立工程计量计价体系，完善工程材料、机械、人工等各类价格市场化信息发布机制。改进最高投标限价编制方式，强化招标人工程造价管控责任，推行全过程工程造价咨询。严格合同履约管理和工程变更，强化工程进度款支付和工程结算管理，招标人不得将未完成审计作为延期工程结算、拖欠工程款的理由。</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三、加强招标投标过程监管</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七）加强招标投标活动监管。各级住房和城乡建设主管部门应按照“双随机、一公开”的要求，加大招标投标事中事后查处力度，严厉打击串通投标、弄虚作假等违法违规行为，维护建筑市场秩序。对围标串标等情节严重的，应纳入失信联合惩戒范围，直至清出市场。</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八）加强评标专家监管。各级住房和城乡建设主管部门要结合实际健全完善评标专家动态监管和抽取监督的管理制度，严格履行对评标专家的监管职责。建立评标专家考核和退出机制，对存在违法违规行为的评标专家，应取消其评标专家资格，依法依规严肃查处。</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（九）强化招标代理机构市场行为监管。实行招标代理机构信息自愿报送和年度业绩公示制度，完善全过程工程咨询机构从事招标投</w:t>
      </w:r>
      <w:r w:rsidRPr="00612A5C">
        <w:rPr>
          <w:rFonts w:asciiTheme="minorEastAsia" w:hAnsiTheme="minorEastAsia" w:hint="eastAsia"/>
          <w:sz w:val="28"/>
          <w:szCs w:val="28"/>
        </w:rPr>
        <w:lastRenderedPageBreak/>
        <w:t>标活动的监管。加强招标代理机构从业人员考核、评价，严格依法查处从业人员违法违规行为，信用评价信息向社会公开，实行招标代理机构“黑名单”制度，构建守信激励、失信惩戒机制。</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十）强化合同履约监管。加强建筑市场和施工现场“两场”联动，将履约行为纳入信用评价，中标人应严格按照投标承诺的技术力量和技术方案履约，对中标人拒不履行合同约定义务的，作为不良行为记入信用记录。</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四、优化招标投标市场环境</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十一）加快推行工程担保制度。推行银行保函制度，在有条件的地区推行工程担保公司保函和工程保证保险。招标人要求中标人提供履约担保的，招标人应当同时向中标人提供工程款支付担保。对采用最低价中标的探索实行高保额履约担保。</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十二）加大信息公开力度。公开招标的项目信息，包括资格预审公告、招标公告、评审委员会评审信息、资格审查不合格名单、评标结果、中标候选人、定标方法、受理投诉的联系方式等内容，应在招标公告发布的公共服务平台、交易平台向社会公开，接受社会公众的监督。</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十三）完善建筑市场信用评价机制。积极开展建筑市场信用评价，健全招标人、投标人、招标代理机构及从业人员等市场主体信用档案，完善信用信息的分级管理制度，对存在严重失信行为的市场主体予以惩戒，推动建筑市场信用评价结果在招标投标活动中规范应用，严禁假借信用评价实行地方保护。</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lastRenderedPageBreak/>
        <w:t xml:space="preserve">　　（十四）畅通投诉渠道，规范投诉行为。招标投标监管部门要建立健全公平、高效的投诉处理机制，及时受理并依法处理招标投标投诉，加大查处力度。要规范投诉行为，投诉书应包括投诉人和被投诉人的名称地址及有效联系方式、投诉的基本事实、相关请求及主张、有效线索和相关证明材料、已提出异议的证明文件。属于恶意投诉的，应追究其相应责任。</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五、强化保障措施</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十五）强化组织领导。各地住房和城乡建设主管部门要高度重视建筑市场交易活动，创新工程招标投标监管机制，完善相关配套政策，加强对建筑市场交易活动的引导和支持，加强与发展改革、财政、审计等有关部门的沟通协调，切实解决招标投标活动中的实际问题。</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十六）推动示范引领。各地住房和城乡建设主管部门要积极推动工程建设项目招标投标改革，选择部分地区开展试点，及时总结试点做法，形成可复制、可推广的经验。试点中的问题和建议及时告住房和城乡建设部。</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十七）做好宣传引导。各地住房和城乡建设主管部门要通过多种形式及时宣传报道招标投标改革工作措施和取得的成效，加强舆论引导，争取社会公众和市场主体的支持，及时回应舆论关切，为顺利推进招标投标改革工作营造良好的舆论环境。</w:t>
      </w:r>
    </w:p>
    <w:p w:rsidR="00612A5C" w:rsidRPr="00612A5C" w:rsidRDefault="00612A5C" w:rsidP="00612A5C">
      <w:pPr>
        <w:spacing w:line="360" w:lineRule="auto"/>
        <w:rPr>
          <w:rFonts w:asciiTheme="minorEastAsia" w:hAnsiTheme="minorEastAsia"/>
          <w:sz w:val="28"/>
          <w:szCs w:val="28"/>
        </w:rPr>
      </w:pP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t xml:space="preserve">　　　　　　　　　　　　　　　　　　　　　　　　　　　　　　　　　　中华人民共和国住房和城乡建设部</w:t>
      </w:r>
    </w:p>
    <w:p w:rsidR="00612A5C" w:rsidRPr="00612A5C" w:rsidRDefault="00612A5C" w:rsidP="00612A5C">
      <w:pPr>
        <w:spacing w:line="360" w:lineRule="auto"/>
        <w:rPr>
          <w:rFonts w:asciiTheme="minorEastAsia" w:hAnsiTheme="minorEastAsia" w:hint="eastAsia"/>
          <w:sz w:val="28"/>
          <w:szCs w:val="28"/>
        </w:rPr>
      </w:pPr>
      <w:r w:rsidRPr="00612A5C">
        <w:rPr>
          <w:rFonts w:asciiTheme="minorEastAsia" w:hAnsiTheme="minorEastAsia" w:hint="eastAsia"/>
          <w:sz w:val="28"/>
          <w:szCs w:val="28"/>
        </w:rPr>
        <w:lastRenderedPageBreak/>
        <w:t xml:space="preserve">　　　　　　　　　　　　　　　　　　　　　　　　　　　　　　　　　　　　　　2019年12月19日</w:t>
      </w:r>
    </w:p>
    <w:p w:rsidR="00612A5C" w:rsidRPr="00612A5C" w:rsidRDefault="00612A5C" w:rsidP="00612A5C">
      <w:pPr>
        <w:spacing w:line="360" w:lineRule="auto"/>
        <w:rPr>
          <w:rFonts w:asciiTheme="minorEastAsia" w:hAnsiTheme="minorEastAsia"/>
          <w:sz w:val="28"/>
          <w:szCs w:val="28"/>
        </w:rPr>
      </w:pPr>
    </w:p>
    <w:p w:rsidR="00612A5C" w:rsidRPr="00612A5C" w:rsidRDefault="00612A5C" w:rsidP="00612A5C">
      <w:pPr>
        <w:spacing w:line="360" w:lineRule="auto"/>
        <w:rPr>
          <w:rFonts w:asciiTheme="minorEastAsia" w:hAnsiTheme="minorEastAsia"/>
          <w:sz w:val="28"/>
          <w:szCs w:val="28"/>
        </w:rPr>
      </w:pPr>
    </w:p>
    <w:p w:rsidR="00317767" w:rsidRPr="00612A5C" w:rsidRDefault="00317767" w:rsidP="00612A5C">
      <w:pPr>
        <w:spacing w:line="360" w:lineRule="auto"/>
        <w:rPr>
          <w:rFonts w:asciiTheme="minorEastAsia" w:hAnsiTheme="minorEastAsia"/>
          <w:sz w:val="28"/>
          <w:szCs w:val="28"/>
        </w:rPr>
      </w:pPr>
    </w:p>
    <w:sectPr w:rsidR="00317767" w:rsidRPr="00612A5C" w:rsidSect="00612A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002" w:rsidRDefault="00D44002" w:rsidP="00612A5C">
      <w:r>
        <w:separator/>
      </w:r>
    </w:p>
  </w:endnote>
  <w:endnote w:type="continuationSeparator" w:id="0">
    <w:p w:rsidR="00D44002" w:rsidRDefault="00D44002" w:rsidP="00612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002" w:rsidRDefault="00D44002" w:rsidP="00612A5C">
      <w:r>
        <w:separator/>
      </w:r>
    </w:p>
  </w:footnote>
  <w:footnote w:type="continuationSeparator" w:id="0">
    <w:p w:rsidR="00D44002" w:rsidRDefault="00D44002" w:rsidP="00612A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17767"/>
    <w:rsid w:val="00317767"/>
    <w:rsid w:val="00612A5C"/>
    <w:rsid w:val="00D44002"/>
    <w:rsid w:val="1B100490"/>
    <w:rsid w:val="336E06F2"/>
    <w:rsid w:val="6B9C47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776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17767"/>
    <w:pPr>
      <w:jc w:val="left"/>
    </w:pPr>
    <w:rPr>
      <w:rFonts w:cs="Times New Roman"/>
      <w:kern w:val="0"/>
      <w:sz w:val="24"/>
    </w:rPr>
  </w:style>
  <w:style w:type="character" w:styleId="a4">
    <w:name w:val="FollowedHyperlink"/>
    <w:basedOn w:val="a0"/>
    <w:qFormat/>
    <w:rsid w:val="00317767"/>
    <w:rPr>
      <w:color w:val="000000"/>
      <w:sz w:val="18"/>
      <w:szCs w:val="18"/>
      <w:u w:val="none"/>
    </w:rPr>
  </w:style>
  <w:style w:type="character" w:styleId="a5">
    <w:name w:val="Hyperlink"/>
    <w:basedOn w:val="a0"/>
    <w:qFormat/>
    <w:rsid w:val="00317767"/>
    <w:rPr>
      <w:color w:val="000000"/>
      <w:sz w:val="18"/>
      <w:szCs w:val="18"/>
      <w:u w:val="none"/>
    </w:rPr>
  </w:style>
  <w:style w:type="paragraph" w:customStyle="1" w:styleId="pbj">
    <w:name w:val="pbj"/>
    <w:basedOn w:val="a"/>
    <w:qFormat/>
    <w:rsid w:val="00317767"/>
    <w:pPr>
      <w:jc w:val="left"/>
    </w:pPr>
    <w:rPr>
      <w:rFonts w:cs="Times New Roman"/>
      <w:kern w:val="0"/>
    </w:rPr>
  </w:style>
  <w:style w:type="paragraph" w:styleId="a6">
    <w:name w:val="header"/>
    <w:basedOn w:val="a"/>
    <w:link w:val="Char"/>
    <w:rsid w:val="00612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12A5C"/>
    <w:rPr>
      <w:rFonts w:asciiTheme="minorHAnsi" w:eastAsiaTheme="minorEastAsia" w:hAnsiTheme="minorHAnsi" w:cstheme="minorBidi"/>
      <w:kern w:val="2"/>
      <w:sz w:val="18"/>
      <w:szCs w:val="18"/>
    </w:rPr>
  </w:style>
  <w:style w:type="paragraph" w:styleId="a7">
    <w:name w:val="footer"/>
    <w:basedOn w:val="a"/>
    <w:link w:val="Char0"/>
    <w:rsid w:val="00612A5C"/>
    <w:pPr>
      <w:tabs>
        <w:tab w:val="center" w:pos="4153"/>
        <w:tab w:val="right" w:pos="8306"/>
      </w:tabs>
      <w:snapToGrid w:val="0"/>
      <w:jc w:val="left"/>
    </w:pPr>
    <w:rPr>
      <w:sz w:val="18"/>
      <w:szCs w:val="18"/>
    </w:rPr>
  </w:style>
  <w:style w:type="character" w:customStyle="1" w:styleId="Char0">
    <w:name w:val="页脚 Char"/>
    <w:basedOn w:val="a0"/>
    <w:link w:val="a7"/>
    <w:rsid w:val="00612A5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2014-10-29T12:08:00Z</dcterms:created>
  <dcterms:modified xsi:type="dcterms:W3CDTF">2020-06-14T08:04:00Z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