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750" w:rsidRPr="003C4AC3" w:rsidRDefault="00713750" w:rsidP="00713750">
      <w:pPr>
        <w:adjustRightInd/>
        <w:snapToGrid/>
        <w:spacing w:after="0" w:line="432" w:lineRule="auto"/>
        <w:jc w:val="center"/>
        <w:rPr>
          <w:rFonts w:ascii="宋体" w:eastAsia="宋体" w:hAnsi="宋体" w:cs="宋体"/>
          <w:color w:val="333333"/>
          <w:sz w:val="32"/>
          <w:szCs w:val="32"/>
        </w:rPr>
      </w:pPr>
      <w:r w:rsidRPr="003C4AC3">
        <w:rPr>
          <w:rFonts w:ascii="宋体" w:eastAsia="宋体" w:hAnsi="宋体" w:cs="宋体" w:hint="eastAsia"/>
          <w:b/>
          <w:bCs/>
          <w:color w:val="333333"/>
          <w:sz w:val="32"/>
          <w:szCs w:val="32"/>
        </w:rPr>
        <w:t>国务院办公厅关于全面开展工程建设</w:t>
      </w:r>
    </w:p>
    <w:p w:rsidR="00713750" w:rsidRPr="003C4AC3" w:rsidRDefault="00713750" w:rsidP="00713750">
      <w:pPr>
        <w:adjustRightInd/>
        <w:snapToGrid/>
        <w:spacing w:after="0" w:line="432" w:lineRule="auto"/>
        <w:jc w:val="center"/>
        <w:rPr>
          <w:rFonts w:ascii="宋体" w:eastAsia="宋体" w:hAnsi="宋体" w:cs="宋体"/>
          <w:color w:val="333333"/>
          <w:sz w:val="32"/>
          <w:szCs w:val="32"/>
        </w:rPr>
      </w:pPr>
      <w:r w:rsidRPr="003C4AC3">
        <w:rPr>
          <w:rFonts w:ascii="宋体" w:eastAsia="宋体" w:hAnsi="宋体" w:cs="宋体" w:hint="eastAsia"/>
          <w:b/>
          <w:bCs/>
          <w:color w:val="333333"/>
          <w:sz w:val="32"/>
          <w:szCs w:val="32"/>
        </w:rPr>
        <w:t>项目审批制度改革的实施意见</w:t>
      </w:r>
    </w:p>
    <w:p w:rsidR="00713750" w:rsidRPr="003C4AC3" w:rsidRDefault="00713750" w:rsidP="00713750">
      <w:pPr>
        <w:adjustRightInd/>
        <w:snapToGrid/>
        <w:spacing w:after="0" w:line="432" w:lineRule="auto"/>
        <w:jc w:val="center"/>
        <w:rPr>
          <w:rFonts w:asciiTheme="minorEastAsia" w:eastAsiaTheme="minorEastAsia" w:hAnsiTheme="minorEastAsia" w:cs="宋体"/>
          <w:color w:val="333333"/>
          <w:sz w:val="28"/>
          <w:szCs w:val="28"/>
        </w:rPr>
      </w:pPr>
      <w:r w:rsidRPr="003C4AC3">
        <w:rPr>
          <w:rFonts w:asciiTheme="minorEastAsia" w:eastAsiaTheme="minorEastAsia" w:hAnsiTheme="minorEastAsia" w:cs="宋体" w:hint="eastAsia"/>
          <w:color w:val="333333"/>
          <w:sz w:val="28"/>
          <w:szCs w:val="28"/>
        </w:rPr>
        <w:t>国办发〔2019〕11号</w:t>
      </w:r>
    </w:p>
    <w:p w:rsidR="00713750" w:rsidRPr="00713750" w:rsidRDefault="00713750" w:rsidP="00713750">
      <w:pPr>
        <w:adjustRightInd/>
        <w:snapToGrid/>
        <w:spacing w:after="0" w:line="432" w:lineRule="auto"/>
        <w:jc w:val="center"/>
        <w:rPr>
          <w:rFonts w:ascii="宋体" w:eastAsia="宋体" w:hAnsi="宋体" w:cs="宋体"/>
          <w:color w:val="333333"/>
          <w:sz w:val="24"/>
          <w:szCs w:val="24"/>
        </w:rPr>
      </w:pPr>
    </w:p>
    <w:p w:rsidR="00713750" w:rsidRPr="003C4AC3" w:rsidRDefault="00713750" w:rsidP="00713750">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各省、自治区、直辖市人民政府，国务院各部委、各直属机构：</w:t>
      </w:r>
    </w:p>
    <w:p w:rsidR="00713750" w:rsidRPr="003C4AC3" w:rsidRDefault="00713750" w:rsidP="00713750">
      <w:pPr>
        <w:adjustRightInd/>
        <w:snapToGrid/>
        <w:spacing w:after="0" w:line="432" w:lineRule="auto"/>
        <w:ind w:firstLine="480"/>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工程建设项目审批制度改革是党中央、国务院在新形势下作出的重大决策，是推进政府职能转变和深化“放管服”改革、优化营商环境的重要内容。2018年5月工程建设项目审批制度改革试点开展以来，试点地区按照国务院部署，对工程建设项目审批制度实施了全流程、全覆盖改革，基本形成统一的审批流程、统一的信息数据平台、统一的审批管理体系和统一的监管方式。经国务院同意，现就全面开展工程建设项目审批制度改革提出以下意见。</w:t>
      </w:r>
    </w:p>
    <w:p w:rsidR="00713750" w:rsidRPr="00713750" w:rsidRDefault="00713750" w:rsidP="00713750">
      <w:pPr>
        <w:adjustRightInd/>
        <w:snapToGrid/>
        <w:spacing w:after="0" w:line="432" w:lineRule="auto"/>
        <w:ind w:firstLine="480"/>
        <w:jc w:val="both"/>
        <w:rPr>
          <w:rFonts w:ascii="宋体" w:eastAsia="宋体" w:hAnsi="宋体" w:cs="宋体"/>
          <w:color w:val="333333"/>
          <w:sz w:val="24"/>
          <w:szCs w:val="24"/>
        </w:rPr>
      </w:pPr>
      <w:r w:rsidRPr="00713750">
        <w:rPr>
          <w:rFonts w:ascii="宋体" w:eastAsia="宋体" w:hAnsi="宋体" w:cs="宋体" w:hint="eastAsia"/>
          <w:b/>
          <w:bCs/>
          <w:color w:val="333333"/>
          <w:sz w:val="24"/>
          <w:szCs w:val="24"/>
        </w:rPr>
        <w:t>一、总体要求</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一）指导思想。以习近平新时代中国特色社会主义思想为指导，深入贯彻党的十九大和十九届二中、三中全会精神，坚持以人民为中心，牢固树立新发展理念，以推进政府治理体系和治理能力现代化为目标，以更好更快方便企业和群众办事为导向，加大转变政府职能和简政放权力度，全面开展工程建设项目审批制度改革，统一审批流程，统一信息数据平台，统一审批管理体系，统一监管方式，实现工程建设项目审批“四统一”。</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lastRenderedPageBreak/>
        <w:t>（二）改革内容。对工程建设项目审批制度实施全流程、全覆盖改革。改革覆盖工程建设项目审批全过程（包括从立项到竣工验收和公共设施接入服务）；主要是房屋建筑和城市基础设施等工程，不包括特殊工程和交通、水利、能源等领域的重大工程；覆盖行政许可等审批事项和技术审查、中介服务、市政公用服务以及备案等其他类型事项，推动流程优化和标准化。</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三）主要目标。2019年上半年，全国工程建设项目审批时间压缩至120个工作日以内，省（自治区）和地级及以上城市初步建成工程建设项目审批制度框架和信息数据平台；到2019年底，工程建设项目审批管理系统与相关系统平台互联互通；试点地区继续深化改革，加大改革创新力度，进一步精简审批环节和事项，减少审批阶段，压减审批时间，加强辅导服务，提高审批效能。到2020年底，基本建成全国统一的工程建设项目审批和管理体系。</w:t>
      </w:r>
    </w:p>
    <w:p w:rsidR="00713750" w:rsidRPr="002C6C2E" w:rsidRDefault="00713750" w:rsidP="002C6C2E">
      <w:pPr>
        <w:adjustRightInd/>
        <w:snapToGrid/>
        <w:spacing w:after="0" w:line="432" w:lineRule="auto"/>
        <w:ind w:firstLine="480"/>
        <w:jc w:val="both"/>
        <w:rPr>
          <w:rFonts w:ascii="宋体" w:eastAsia="宋体" w:hAnsi="宋体" w:cs="宋体"/>
          <w:b/>
          <w:bCs/>
          <w:color w:val="333333"/>
          <w:sz w:val="24"/>
          <w:szCs w:val="24"/>
        </w:rPr>
      </w:pPr>
      <w:r w:rsidRPr="002C6C2E">
        <w:rPr>
          <w:rFonts w:ascii="宋体" w:eastAsia="宋体" w:hAnsi="宋体" w:cs="宋体" w:hint="eastAsia"/>
          <w:b/>
          <w:bCs/>
          <w:color w:val="333333"/>
          <w:sz w:val="24"/>
          <w:szCs w:val="24"/>
        </w:rPr>
        <w:t>二、统一审批流程</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四）精简审批环节。精减审批事项和条件，取消不合法、不合理、不必要的审批事项，减少保留事项的前置条件。下放审批权限，按照方便企业和群众办事的原则，对下级机关有能力承接的审批事项，下放或委托下级机关审批。合并审批事项，对由同一部门实施的管理内容相近或者属于同一办理阶段的多个审批事项，整合为一个审批事项。转变管理方式，对能够用征求相关部门意见方式替代的审批事项，调整为政府内部协作事项。调整审批时序，地震安全性评</w:t>
      </w:r>
      <w:r w:rsidRPr="003C4AC3">
        <w:rPr>
          <w:rFonts w:ascii="宋体" w:eastAsia="宋体" w:hAnsi="宋体" w:cs="宋体" w:hint="eastAsia"/>
          <w:color w:val="333333"/>
          <w:sz w:val="28"/>
          <w:szCs w:val="28"/>
        </w:rPr>
        <w:lastRenderedPageBreak/>
        <w:t>价在工程设计前完成即可，环境影响评价、节能评价等评估评价和取水许可等事项在开工前完成即可；可以将用地预审意见作为使用土地证明文件申请办理建设工程规划许可证；将供水、供电、燃气、热力、排水、通信等市政公用基础设施报装提前到开工前办理，在工程施工阶段完成相关设施建设，竣工验收后直接办理接入事宜。试点地区要进一步精简审批环节，在加快探索取消施工图审查（或缩小审查范围）、实行告知承诺制和设计人员终身负责制等方面，尽快形成可复制可推广的经验。</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五）规范审批事项。各地要按照国务院统一要求，对本地区工程建设项目审批事项进行全面清理，统一审批事项和法律依据，逐步形成全国统一的审批事项名称、申请材料和审批时限。要本着合法、精简、效能的原则，制定国家、省（自治区）和地级及以上城市工程建设项目审批事项清单，明确各项审批事项的适用范围和前置条件，并实行动态管理。下级政府制定的审批事项清单原则上要与上级政府审批事项清单一致，超出上级政府审批事项清单范围的，要报上级机关备案，并说明理由。</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六）合理划分审批阶段。将工程建设项目审批流程主要划分为立项用地规划许可、工程建设许可、施工许可、竣工验收四个阶段。其中，立项用地规划许可阶段主要包括项目审批核准、选址意见书核发、用地预审、用地规划许可证核发等。工程建设许可阶段主要包括设计方案审查、建设工程规划许可证核发等。施工许可阶段主</w:t>
      </w:r>
      <w:r w:rsidRPr="003C4AC3">
        <w:rPr>
          <w:rFonts w:ascii="宋体" w:eastAsia="宋体" w:hAnsi="宋体" w:cs="宋体" w:hint="eastAsia"/>
          <w:color w:val="333333"/>
          <w:sz w:val="28"/>
          <w:szCs w:val="28"/>
        </w:rPr>
        <w:lastRenderedPageBreak/>
        <w:t>要包括设计审核确认、施工许可证核发等。竣工验收阶段主要包括规划、土地、消防、人防、档案等验收及竣工验收备案等。其他行政许可、强制性评估、中介服务、市政公用服务以及备案等事项纳入相关阶段办理或与相关阶段并行推进。每个审批阶段确定一家牵头部门，实行“一家牵头、并联审批、限时办结”，由牵头部门组织协调相关部门严格按照限定时间完成审批。</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七）分类制定审批流程。制定全国统一的工程建设项目审批流程图示范文本。地级及以上地方人民政府要根据示范文本，分别制定政府投资、社会投资等不同类型工程的审批流程图；同时可结合实际，根据工程建设项目类型、投资类别、规模大小等，进一步梳理合并审批流程。简化社会投资的中小型工程建设项目审批，对于带方案出让土地的项目，不再对设计方案进行审核，将工程建设许可和施工许可合并为一个阶段。试点地区要进一步加大改革力度，也可以在其他工程建设项目中探索将工程建设许可和施工许可合并为一个阶段。</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八）实行联合审图和联合验收。制定施工图设计文件联合审查和联合竣工验收管理办法。将消防、人防、技防等技术审查并入施工图设计文件审查，相关部门不再进行技术审查。实行规划、土地、消防、人防、档案等事项限时联合验收，统一竣工验收图纸和验收标准，统一出具验收意见。对于验收涉及的测绘工作，实行“一次委托、联合测绘、成果共享”。</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lastRenderedPageBreak/>
        <w:t>（九）推行区域评估。在各类开发区、工业园区、新区和其他有条件的区域，推行由政府统一组织对压覆重要矿产资源、环境影响评价、节能评价、地质灾害危险性评估、地震安全性评价、水资源论证等评估评价事项实行区域评估。实行区域评估的，政府相关部门应在土地出让或划拨前，告知建设单位相关建设要求。</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推行告知承诺制。对通过事中事后监管能够纠正不符合审批条件的行为且不会产生严重后果的审批事项，实行告知承诺制。公布实行告知承诺制的工程建设项目审批事项清单及具体要求，申请人按照要求作出书面承诺的，审批部门可以根据申请人信用等情况直接作出审批决定。对已经实施区域评估范围内的工程建设项目，相应的审批事项实行告知承诺制。</w:t>
      </w:r>
    </w:p>
    <w:p w:rsidR="00713750" w:rsidRPr="002C6C2E" w:rsidRDefault="00713750" w:rsidP="002C6C2E">
      <w:pPr>
        <w:adjustRightInd/>
        <w:snapToGrid/>
        <w:spacing w:after="0" w:line="432" w:lineRule="auto"/>
        <w:ind w:firstLine="480"/>
        <w:jc w:val="both"/>
        <w:rPr>
          <w:rFonts w:ascii="宋体" w:eastAsia="宋体" w:hAnsi="宋体" w:cs="宋体"/>
          <w:b/>
          <w:bCs/>
          <w:color w:val="333333"/>
          <w:sz w:val="24"/>
          <w:szCs w:val="24"/>
        </w:rPr>
      </w:pPr>
      <w:r w:rsidRPr="002C6C2E">
        <w:rPr>
          <w:rFonts w:ascii="宋体" w:eastAsia="宋体" w:hAnsi="宋体" w:cs="宋体" w:hint="eastAsia"/>
          <w:b/>
          <w:bCs/>
          <w:color w:val="333333"/>
          <w:sz w:val="24"/>
          <w:szCs w:val="24"/>
        </w:rPr>
        <w:t>三、统一信息数据平台</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一）建立完善工程建设项目审批管理系统。地级及以上地方人民政府要按照“横向到边、纵向到底”的原则，整合建设覆盖地方各有关部门和区、县的工程建设项目审批管理系统，并与国家工程建设项目审批管理系统对接，实现审批数据实时共享。省级工程建设项目审批管理系统要将省级工程建设项目审批事项纳入系统管理，并与国家和本地区各城市工程建设项目审批管理系统实现审批数据实时共享。研究制定工程建设项目审批管理系统管理办法，通过工程建设项目审批管理系统加强对工程建设项目审批的指导和监督。地方工程建设项目审批管理系统要具备“多规合一”业务协同、在</w:t>
      </w:r>
      <w:r w:rsidRPr="003C4AC3">
        <w:rPr>
          <w:rFonts w:ascii="宋体" w:eastAsia="宋体" w:hAnsi="宋体" w:cs="宋体" w:hint="eastAsia"/>
          <w:color w:val="333333"/>
          <w:sz w:val="28"/>
          <w:szCs w:val="28"/>
        </w:rPr>
        <w:lastRenderedPageBreak/>
        <w:t>线并联审批、统计分析、监督管理等功能，在“一张蓝图”基础上开展审批，实现统一受理、并联审批、实时流转、跟踪督办。以应用为导向，打破“信息孤岛”，2019年底前实现工程建设项目审批管理系统与全国一体化在线政务服务平台的对接，推进工程建设项目审批管理系统与投资项目在线审批监管平台等相关部门审批信息系统的互联互通。地方人民政府要在工程建设项目审批管理系统整合建设资金安排上给予保障。</w:t>
      </w:r>
    </w:p>
    <w:p w:rsidR="00713750" w:rsidRPr="002C6C2E" w:rsidRDefault="00713750" w:rsidP="002C6C2E">
      <w:pPr>
        <w:adjustRightInd/>
        <w:snapToGrid/>
        <w:spacing w:after="0" w:line="432" w:lineRule="auto"/>
        <w:ind w:firstLine="480"/>
        <w:jc w:val="both"/>
        <w:rPr>
          <w:rFonts w:ascii="宋体" w:eastAsia="宋体" w:hAnsi="宋体" w:cs="宋体"/>
          <w:b/>
          <w:bCs/>
          <w:color w:val="333333"/>
          <w:sz w:val="24"/>
          <w:szCs w:val="24"/>
        </w:rPr>
      </w:pPr>
      <w:r w:rsidRPr="002C6C2E">
        <w:rPr>
          <w:rFonts w:ascii="宋体" w:eastAsia="宋体" w:hAnsi="宋体" w:cs="宋体" w:hint="eastAsia"/>
          <w:b/>
          <w:bCs/>
          <w:color w:val="333333"/>
          <w:sz w:val="24"/>
          <w:szCs w:val="24"/>
        </w:rPr>
        <w:t>四、统一审批管理体系</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二）“一张蓝图”统筹项目实施。统筹整合各类规划，划定各类控制线，构建“多规合一”的“一张蓝图”。依托工程建设项目审批管理系统，加强“多规合一”业务协同，统筹协调各部门对工程建设项目提出建设条件以及需要开展的评估评价事项等要求，为项目建设单位落实建设条件、相关部门加强监督管理提供依据，加速项目前期策划生成，简化项目审批或核准手续。</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三）“一个窗口”提供综合服务。县级及以上城市人民政府要加强政务大厅建设，发挥服务企业群众、监督协调审批的作用。整合各部门和各市政公用单位分散设立的服务窗口，设立工程建设项目审批综合服务窗口。建立完善“前台受理、后台审核”机制，综合服务窗口统一收件、出件，实现“一个窗口”服务和管理。省级人民政府要统一制定本地区“一窗受理”的工作规程。鼓励为申请人提供工程建设项目审批咨询、指导、协调和代办等服务，帮助企</w:t>
      </w:r>
      <w:r w:rsidRPr="003C4AC3">
        <w:rPr>
          <w:rFonts w:ascii="宋体" w:eastAsia="宋体" w:hAnsi="宋体" w:cs="宋体" w:hint="eastAsia"/>
          <w:color w:val="333333"/>
          <w:sz w:val="28"/>
          <w:szCs w:val="28"/>
        </w:rPr>
        <w:lastRenderedPageBreak/>
        <w:t>业了解审批要求，提供相关工程建设项目的申请材料清单，提高申报通过率。</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四）“一张表单”整合申报材料。各审批阶段均实行“一份办事指南，一张申请表单，一套申报材料，完成多项审批”的运作模式，牵头部门制定统一的办事指南和申报表格，每个审批阶段申请人只需提交一套申报材料。建立完善审批清单服务机制，主动为申请人提供项目需要审批的事项清单。不同审批阶段的审批部门应当共享申报材料，不得要求申请人重复提交。</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五）“一套机制”规范审批运行。建立健全工程建设项目审批配套制度，明确部门职责，明晰工作规程，规范审批行为，确保审批各阶段、各环节无缝衔接。建立审批协调机制，协调解决部门意见分歧。建立跟踪督办制度，实时跟踪审批办理情况，对全过程实施督办。各级政府部门要主动加强与人大及司法机构的沟通协调配合，加快法律法规、规范性文件和标准规范的立改废释工作，修改或废止与工程建设项目审批制度改革要求不相符的相关制度，建立依法推进改革的长效机制。</w:t>
      </w:r>
    </w:p>
    <w:p w:rsidR="00713750" w:rsidRPr="002C6C2E" w:rsidRDefault="00713750" w:rsidP="002C6C2E">
      <w:pPr>
        <w:adjustRightInd/>
        <w:snapToGrid/>
        <w:spacing w:after="0" w:line="432" w:lineRule="auto"/>
        <w:ind w:firstLine="480"/>
        <w:jc w:val="both"/>
        <w:rPr>
          <w:rFonts w:ascii="宋体" w:eastAsia="宋体" w:hAnsi="宋体" w:cs="宋体"/>
          <w:b/>
          <w:bCs/>
          <w:color w:val="333333"/>
          <w:sz w:val="24"/>
          <w:szCs w:val="24"/>
        </w:rPr>
      </w:pPr>
      <w:r w:rsidRPr="002C6C2E">
        <w:rPr>
          <w:rFonts w:ascii="宋体" w:eastAsia="宋体" w:hAnsi="宋体" w:cs="宋体" w:hint="eastAsia"/>
          <w:b/>
          <w:bCs/>
          <w:color w:val="333333"/>
          <w:sz w:val="24"/>
          <w:szCs w:val="24"/>
        </w:rPr>
        <w:t>五、统一监管方式</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六）加强事中事后监管。进一步转变监管理念，完善事中事后监管体系，统一规范事中事后监管模式，建立以“双随机、一公开”监管为基本手段，以重点监管为补充，以信用监管为基础的新型监管机制，严肃查处违法违规行为。对于实行告知承诺制的审批事项，</w:t>
      </w:r>
      <w:r w:rsidRPr="003C4AC3">
        <w:rPr>
          <w:rFonts w:ascii="宋体" w:eastAsia="宋体" w:hAnsi="宋体" w:cs="宋体" w:hint="eastAsia"/>
          <w:color w:val="333333"/>
          <w:sz w:val="28"/>
          <w:szCs w:val="28"/>
        </w:rPr>
        <w:lastRenderedPageBreak/>
        <w:t>审批部门应当在规定时间内对承诺人履行承诺的情况进行检查，承诺人未履行承诺的，审批部门要依法撤销行政审批决定并追究承诺人的相应责任。</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七）加强信用体系建设。建立工程建设项目审批信用信息平台，完善申请人信用记录，建立红黑名单制度，实行信用分级分类管理，出台工程建设项目审批守信联合激励和失信联合惩戒合作备忘录，对失信企业和从业人员进行严格监管。将企业和从业人员违法违规、不履行承诺的失信行为纳入工程建设项目审批管理系统，并与全国信用信息共享平台互联互通，加强信用信息共享，构建“一处失信、处处受限”的联合惩戒机制。</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八）规范中介和市政公用服务。建立健全中介服务和市政公用服务管理制度，实行服务承诺制，明确服务标准和办事流程，规范服务收费。依托工程建设项目审批管理系统建立中介服务网上交易平台，对中介服务行为实施全过程监管。供水、供电、燃气、热力、排水、通信等市政公用服务要全部入驻政务服务大厅，实施统一规范管理，为建设单位提供“一站式”服务。</w:t>
      </w:r>
    </w:p>
    <w:p w:rsidR="00713750" w:rsidRPr="002C6C2E" w:rsidRDefault="00713750" w:rsidP="002C6C2E">
      <w:pPr>
        <w:adjustRightInd/>
        <w:snapToGrid/>
        <w:spacing w:after="0" w:line="432" w:lineRule="auto"/>
        <w:ind w:firstLine="480"/>
        <w:jc w:val="both"/>
        <w:rPr>
          <w:rFonts w:ascii="宋体" w:eastAsia="宋体" w:hAnsi="宋体" w:cs="宋体"/>
          <w:b/>
          <w:bCs/>
          <w:color w:val="333333"/>
          <w:sz w:val="24"/>
          <w:szCs w:val="24"/>
        </w:rPr>
      </w:pPr>
      <w:r w:rsidRPr="002C6C2E">
        <w:rPr>
          <w:rFonts w:ascii="宋体" w:eastAsia="宋体" w:hAnsi="宋体" w:cs="宋体" w:hint="eastAsia"/>
          <w:b/>
          <w:bCs/>
          <w:color w:val="333333"/>
          <w:sz w:val="24"/>
          <w:szCs w:val="24"/>
        </w:rPr>
        <w:t>六、加强组织实施</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十九）强化组织领导。住房城乡建设部要切实担负起工程建设项目审批制度改革工作的组织协调和督促指导责任；各部门要密切协调配合，加强工程建设项目审批制度改革、投资审批制度改革等“放管服”各项改革任务的协同联动，形成改革合力。各省级人民</w:t>
      </w:r>
      <w:r w:rsidRPr="003C4AC3">
        <w:rPr>
          <w:rFonts w:ascii="宋体" w:eastAsia="宋体" w:hAnsi="宋体" w:cs="宋体" w:hint="eastAsia"/>
          <w:color w:val="333333"/>
          <w:sz w:val="28"/>
          <w:szCs w:val="28"/>
        </w:rPr>
        <w:lastRenderedPageBreak/>
        <w:t>政府要按照本实施意见要求，全面领导本地区工程建设项目审批制度改革工作，加强统筹协调、指导和督促，为改革工作提供组织和经费保障，积极推动各项改革措施落地。各省级人民政府要在本实施意见印发后1个月内制定具体实施方案，并报住房城乡建设部备案。各地方人民政府要高度重视工程建设项目审批制度改革工作，承担改革主体责任，成立以主要负责同志为组长的领导小组，明确责任部门，制定时间表、路线图，确保按时保质完成任务。</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二十）加强沟通反馈和培训。住房城乡建设部要建立上下联动的沟通反馈机制，及时了解地方工程建设项目审批制度改革工作情况，督促指导地方研究解决改革中遇到的问题。各地要针对重点、难点问题，采用集中培训、网络培训和专题培训等方式，加强对各级领导干部、工作人员和申请人的业务培训，对相关政策进行全面解读和辅导，提高改革能力和业务水平。</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二十一）严格督促落实。住房城乡建设部要会同相关部门建立工程建设项目审批制度改革评估评价机制，重点评估评价各地全流程、全覆盖改革和统一审批流程、统一信息数据平台、统一审批管理体系、统一监管方式等情况，并将有关情况报国务院。地方各级人民政府要加大对地方有关部门工作的督导力度，跟踪改革任务落实情况。各省级人民政府要定期向住房城乡建设部报送工作进展情况。对于工作推进不力、影响工程建设项目审批制度改革进程，特别是未按时完成阶段性工作目标的，要依法依规严肃问责。</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lastRenderedPageBreak/>
        <w:t>（二十二）做好宣传引导。各地要通过多种形式及时宣传报道相关工作措施和取得的成效，加强舆论引导，增进社会公众对工程建设项目审批制度改革工作的了解和支持，及时回应群众关切，为顺利推进改革营造良好的舆论环境。</w:t>
      </w:r>
    </w:p>
    <w:p w:rsidR="002C6C2E" w:rsidRDefault="00713750" w:rsidP="002C6C2E">
      <w:pPr>
        <w:adjustRightInd/>
        <w:snapToGrid/>
        <w:spacing w:after="0" w:line="432" w:lineRule="auto"/>
        <w:jc w:val="right"/>
        <w:rPr>
          <w:rFonts w:ascii="宋体" w:eastAsia="宋体" w:hAnsi="宋体" w:cs="宋体" w:hint="eastAsia"/>
          <w:color w:val="333333"/>
          <w:sz w:val="28"/>
          <w:szCs w:val="28"/>
        </w:rPr>
      </w:pPr>
      <w:r w:rsidRPr="002C6C2E">
        <w:rPr>
          <w:rFonts w:ascii="宋体" w:eastAsia="宋体" w:hAnsi="宋体" w:cs="宋体" w:hint="eastAsia"/>
          <w:color w:val="333333"/>
          <w:sz w:val="28"/>
          <w:szCs w:val="28"/>
        </w:rPr>
        <w:t>国务院办公厅</w:t>
      </w:r>
    </w:p>
    <w:p w:rsidR="00713750" w:rsidRPr="003C4AC3" w:rsidRDefault="00713750" w:rsidP="002C6C2E">
      <w:pPr>
        <w:adjustRightInd/>
        <w:snapToGrid/>
        <w:spacing w:after="0" w:line="432" w:lineRule="auto"/>
        <w:jc w:val="right"/>
        <w:rPr>
          <w:rFonts w:ascii="宋体" w:eastAsia="宋体" w:hAnsi="宋体" w:cs="宋体"/>
          <w:color w:val="333333"/>
          <w:sz w:val="28"/>
          <w:szCs w:val="28"/>
        </w:rPr>
      </w:pPr>
      <w:r w:rsidRPr="002C6C2E">
        <w:rPr>
          <w:rFonts w:ascii="宋体" w:eastAsia="宋体" w:hAnsi="宋体" w:cs="宋体" w:hint="eastAsia"/>
          <w:color w:val="333333"/>
          <w:sz w:val="28"/>
          <w:szCs w:val="28"/>
        </w:rPr>
        <w:t>2019年3月13日</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hint="eastAsia"/>
          <w:color w:val="333333"/>
          <w:sz w:val="28"/>
          <w:szCs w:val="28"/>
        </w:rPr>
        <w:t>（此件公开发布）</w:t>
      </w:r>
    </w:p>
    <w:p w:rsidR="00713750" w:rsidRPr="003C4AC3" w:rsidRDefault="00713750" w:rsidP="003C4AC3">
      <w:pPr>
        <w:adjustRightInd/>
        <w:snapToGrid/>
        <w:spacing w:after="0" w:line="432" w:lineRule="auto"/>
        <w:jc w:val="both"/>
        <w:rPr>
          <w:rFonts w:ascii="宋体" w:eastAsia="宋体" w:hAnsi="宋体" w:cs="宋体"/>
          <w:color w:val="333333"/>
          <w:sz w:val="28"/>
          <w:szCs w:val="28"/>
        </w:rPr>
      </w:pPr>
    </w:p>
    <w:p w:rsidR="00713750" w:rsidRPr="003C4AC3" w:rsidRDefault="000B1A59"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color w:val="3333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5pt;height:24.65pt"/>
        </w:pict>
      </w:r>
    </w:p>
    <w:p w:rsidR="00713750" w:rsidRPr="003C4AC3" w:rsidRDefault="000B1A59"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color w:val="333333"/>
          <w:sz w:val="28"/>
          <w:szCs w:val="28"/>
        </w:rPr>
        <w:pict>
          <v:shape id="_x0000_i1026" type="#_x0000_t75" alt="" style="width:24.65pt;height:24.65pt"/>
        </w:pict>
      </w:r>
    </w:p>
    <w:p w:rsidR="00713750" w:rsidRPr="003C4AC3" w:rsidRDefault="000B1A59"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color w:val="333333"/>
          <w:sz w:val="28"/>
          <w:szCs w:val="28"/>
        </w:rPr>
        <w:pict>
          <v:shape id="_x0000_i1027" type="#_x0000_t75" alt="" style="width:24.65pt;height:24.65pt"/>
        </w:pict>
      </w:r>
    </w:p>
    <w:p w:rsidR="00713750" w:rsidRPr="003C4AC3" w:rsidRDefault="000B1A59"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color w:val="333333"/>
          <w:sz w:val="28"/>
          <w:szCs w:val="28"/>
        </w:rPr>
        <w:pict>
          <v:shape id="_x0000_i1028" type="#_x0000_t75" alt="" style="width:24.65pt;height:24.65pt"/>
        </w:pict>
      </w:r>
    </w:p>
    <w:p w:rsidR="00713750" w:rsidRPr="003C4AC3" w:rsidRDefault="000B1A59"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color w:val="333333"/>
          <w:sz w:val="28"/>
          <w:szCs w:val="28"/>
        </w:rPr>
        <w:pict>
          <v:shape id="_x0000_i1029" type="#_x0000_t75" alt="" style="width:24.65pt;height:24.65pt"/>
        </w:pict>
      </w:r>
    </w:p>
    <w:p w:rsidR="00713750" w:rsidRPr="003C4AC3" w:rsidRDefault="000B1A59"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color w:val="333333"/>
          <w:sz w:val="28"/>
          <w:szCs w:val="28"/>
        </w:rPr>
        <w:pict>
          <v:shape id="_x0000_i1030" type="#_x0000_t75" alt="" style="width:24.65pt;height:24.65pt"/>
        </w:pict>
      </w:r>
    </w:p>
    <w:p w:rsidR="00713750" w:rsidRPr="003C4AC3" w:rsidRDefault="000B1A59"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color w:val="333333"/>
          <w:sz w:val="28"/>
          <w:szCs w:val="28"/>
        </w:rPr>
        <w:pict>
          <v:shape id="_x0000_i1031" type="#_x0000_t75" alt="" style="width:24.65pt;height:24.65pt"/>
        </w:pict>
      </w:r>
    </w:p>
    <w:p w:rsidR="00713750" w:rsidRPr="003C4AC3" w:rsidRDefault="000B1A59"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color w:val="333333"/>
          <w:sz w:val="28"/>
          <w:szCs w:val="28"/>
        </w:rPr>
        <w:pict>
          <v:shape id="_x0000_i1032" type="#_x0000_t75" alt="" style="width:24.65pt;height:24.65pt"/>
        </w:pict>
      </w:r>
    </w:p>
    <w:p w:rsidR="00713750" w:rsidRPr="003C4AC3" w:rsidRDefault="000B1A59" w:rsidP="003C4AC3">
      <w:pPr>
        <w:adjustRightInd/>
        <w:snapToGrid/>
        <w:spacing w:after="0" w:line="432" w:lineRule="auto"/>
        <w:jc w:val="both"/>
        <w:rPr>
          <w:rFonts w:ascii="宋体" w:eastAsia="宋体" w:hAnsi="宋体" w:cs="宋体"/>
          <w:color w:val="333333"/>
          <w:sz w:val="28"/>
          <w:szCs w:val="28"/>
        </w:rPr>
      </w:pPr>
      <w:r w:rsidRPr="003C4AC3">
        <w:rPr>
          <w:rFonts w:ascii="宋体" w:eastAsia="宋体" w:hAnsi="宋体" w:cs="宋体"/>
          <w:color w:val="333333"/>
          <w:sz w:val="28"/>
          <w:szCs w:val="28"/>
        </w:rPr>
        <w:pict>
          <v:shape id="_x0000_i1033" type="#_x0000_t75" alt="" style="width:24.65pt;height:24.65pt"/>
        </w:pict>
      </w:r>
    </w:p>
    <w:p w:rsidR="00713750" w:rsidRPr="00713750" w:rsidRDefault="000B1A59" w:rsidP="00713750">
      <w:pPr>
        <w:shd w:val="clear" w:color="auto" w:fill="FFFFFF"/>
        <w:adjustRightInd/>
        <w:snapToGrid/>
        <w:spacing w:after="0" w:line="408" w:lineRule="atLeast"/>
        <w:jc w:val="both"/>
        <w:rPr>
          <w:rFonts w:ascii="微软雅黑" w:hAnsi="微软雅黑" w:cs="宋体"/>
          <w:color w:val="333333"/>
          <w:spacing w:val="8"/>
          <w:sz w:val="26"/>
          <w:szCs w:val="26"/>
        </w:rPr>
      </w:pPr>
      <w:r w:rsidRPr="000B1A59">
        <w:rPr>
          <w:rFonts w:ascii="微软雅黑" w:hAnsi="微软雅黑" w:cs="宋体"/>
          <w:color w:val="333333"/>
          <w:spacing w:val="8"/>
          <w:sz w:val="26"/>
          <w:szCs w:val="26"/>
        </w:rPr>
        <w:pict>
          <v:shape id="_x0000_i1034" type="#_x0000_t75" alt="" style="width:24.65pt;height:24.65pt"/>
        </w:pic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78F" w:rsidRDefault="00F6278F" w:rsidP="003C4AC3">
      <w:pPr>
        <w:spacing w:after="0"/>
      </w:pPr>
      <w:r>
        <w:separator/>
      </w:r>
    </w:p>
  </w:endnote>
  <w:endnote w:type="continuationSeparator" w:id="0">
    <w:p w:rsidR="00F6278F" w:rsidRDefault="00F6278F" w:rsidP="003C4AC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78F" w:rsidRDefault="00F6278F" w:rsidP="003C4AC3">
      <w:pPr>
        <w:spacing w:after="0"/>
      </w:pPr>
      <w:r>
        <w:separator/>
      </w:r>
    </w:p>
  </w:footnote>
  <w:footnote w:type="continuationSeparator" w:id="0">
    <w:p w:rsidR="00F6278F" w:rsidRDefault="00F6278F" w:rsidP="003C4AC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0B1A59"/>
    <w:rsid w:val="002C6C2E"/>
    <w:rsid w:val="00323B43"/>
    <w:rsid w:val="003C4AC3"/>
    <w:rsid w:val="003D37D8"/>
    <w:rsid w:val="00426133"/>
    <w:rsid w:val="004358AB"/>
    <w:rsid w:val="00713750"/>
    <w:rsid w:val="008B7726"/>
    <w:rsid w:val="00AE24CE"/>
    <w:rsid w:val="00D31D50"/>
    <w:rsid w:val="00F627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713750"/>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13750"/>
    <w:rPr>
      <w:rFonts w:ascii="宋体" w:eastAsia="宋体" w:hAnsi="宋体" w:cs="宋体"/>
      <w:b/>
      <w:bCs/>
      <w:sz w:val="36"/>
      <w:szCs w:val="36"/>
    </w:rPr>
  </w:style>
  <w:style w:type="character" w:customStyle="1" w:styleId="richmediameta">
    <w:name w:val="rich_media_meta"/>
    <w:basedOn w:val="a0"/>
    <w:rsid w:val="00713750"/>
  </w:style>
  <w:style w:type="character" w:styleId="a3">
    <w:name w:val="Hyperlink"/>
    <w:basedOn w:val="a0"/>
    <w:uiPriority w:val="99"/>
    <w:semiHidden/>
    <w:unhideWhenUsed/>
    <w:rsid w:val="00713750"/>
    <w:rPr>
      <w:color w:val="0000FF"/>
      <w:u w:val="single"/>
    </w:rPr>
  </w:style>
  <w:style w:type="character" w:customStyle="1" w:styleId="apple-converted-space">
    <w:name w:val="apple-converted-space"/>
    <w:basedOn w:val="a0"/>
    <w:rsid w:val="00713750"/>
  </w:style>
  <w:style w:type="character" w:styleId="a4">
    <w:name w:val="Emphasis"/>
    <w:basedOn w:val="a0"/>
    <w:uiPriority w:val="20"/>
    <w:qFormat/>
    <w:rsid w:val="00713750"/>
    <w:rPr>
      <w:i/>
      <w:iCs/>
    </w:rPr>
  </w:style>
  <w:style w:type="paragraph" w:styleId="a5">
    <w:name w:val="Normal (Web)"/>
    <w:basedOn w:val="a"/>
    <w:uiPriority w:val="99"/>
    <w:semiHidden/>
    <w:unhideWhenUsed/>
    <w:rsid w:val="00713750"/>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713750"/>
    <w:rPr>
      <w:b/>
      <w:bCs/>
    </w:rPr>
  </w:style>
  <w:style w:type="paragraph" w:styleId="a7">
    <w:name w:val="Balloon Text"/>
    <w:basedOn w:val="a"/>
    <w:link w:val="Char"/>
    <w:uiPriority w:val="99"/>
    <w:semiHidden/>
    <w:unhideWhenUsed/>
    <w:rsid w:val="00713750"/>
    <w:pPr>
      <w:spacing w:after="0"/>
    </w:pPr>
    <w:rPr>
      <w:sz w:val="18"/>
      <w:szCs w:val="18"/>
    </w:rPr>
  </w:style>
  <w:style w:type="character" w:customStyle="1" w:styleId="Char">
    <w:name w:val="批注框文本 Char"/>
    <w:basedOn w:val="a0"/>
    <w:link w:val="a7"/>
    <w:uiPriority w:val="99"/>
    <w:semiHidden/>
    <w:rsid w:val="00713750"/>
    <w:rPr>
      <w:rFonts w:ascii="Tahoma" w:hAnsi="Tahoma"/>
      <w:sz w:val="18"/>
      <w:szCs w:val="18"/>
    </w:rPr>
  </w:style>
  <w:style w:type="paragraph" w:styleId="a8">
    <w:name w:val="header"/>
    <w:basedOn w:val="a"/>
    <w:link w:val="Char0"/>
    <w:uiPriority w:val="99"/>
    <w:semiHidden/>
    <w:unhideWhenUsed/>
    <w:rsid w:val="003C4AC3"/>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8"/>
    <w:uiPriority w:val="99"/>
    <w:semiHidden/>
    <w:rsid w:val="003C4AC3"/>
    <w:rPr>
      <w:rFonts w:ascii="Tahoma" w:hAnsi="Tahoma"/>
      <w:sz w:val="18"/>
      <w:szCs w:val="18"/>
    </w:rPr>
  </w:style>
  <w:style w:type="paragraph" w:styleId="a9">
    <w:name w:val="footer"/>
    <w:basedOn w:val="a"/>
    <w:link w:val="Char1"/>
    <w:uiPriority w:val="99"/>
    <w:semiHidden/>
    <w:unhideWhenUsed/>
    <w:rsid w:val="003C4AC3"/>
    <w:pPr>
      <w:tabs>
        <w:tab w:val="center" w:pos="4153"/>
        <w:tab w:val="right" w:pos="8306"/>
      </w:tabs>
    </w:pPr>
    <w:rPr>
      <w:sz w:val="18"/>
      <w:szCs w:val="18"/>
    </w:rPr>
  </w:style>
  <w:style w:type="character" w:customStyle="1" w:styleId="Char1">
    <w:name w:val="页脚 Char"/>
    <w:basedOn w:val="a0"/>
    <w:link w:val="a9"/>
    <w:uiPriority w:val="99"/>
    <w:semiHidden/>
    <w:rsid w:val="003C4AC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129662756">
      <w:bodyDiv w:val="1"/>
      <w:marLeft w:val="0"/>
      <w:marRight w:val="0"/>
      <w:marTop w:val="0"/>
      <w:marBottom w:val="0"/>
      <w:divBdr>
        <w:top w:val="none" w:sz="0" w:space="0" w:color="auto"/>
        <w:left w:val="none" w:sz="0" w:space="0" w:color="auto"/>
        <w:bottom w:val="none" w:sz="0" w:space="0" w:color="auto"/>
        <w:right w:val="none" w:sz="0" w:space="0" w:color="auto"/>
      </w:divBdr>
      <w:divsChild>
        <w:div w:id="146365925">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2020-06-14T07:52:00Z</dcterms:modified>
</cp:coreProperties>
</file>