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5029" w14:textId="1C77BC70" w:rsidR="00676876" w:rsidRPr="007D021F" w:rsidRDefault="00676876" w:rsidP="00676876">
      <w:pPr>
        <w:widowControl/>
        <w:jc w:val="center"/>
        <w:rPr>
          <w:rFonts w:asciiTheme="minorEastAsia" w:hAnsiTheme="minorEastAsia" w:cs="Arial"/>
          <w:b/>
          <w:bCs/>
          <w:color w:val="000000"/>
          <w:kern w:val="0"/>
          <w:sz w:val="32"/>
          <w:szCs w:val="32"/>
        </w:rPr>
      </w:pPr>
      <w:r w:rsidRPr="007D021F">
        <w:rPr>
          <w:rFonts w:asciiTheme="minorEastAsia" w:hAnsiTheme="minorEastAsia" w:cs="Arial"/>
          <w:b/>
          <w:bCs/>
          <w:color w:val="000000"/>
          <w:kern w:val="0"/>
          <w:sz w:val="32"/>
          <w:szCs w:val="32"/>
        </w:rPr>
        <w:t>2026中央一号文件</w:t>
      </w:r>
      <w:r w:rsidR="00FF647D">
        <w:rPr>
          <w:rFonts w:asciiTheme="minorEastAsia" w:hAnsiTheme="minorEastAsia" w:cs="Arial" w:hint="eastAsia"/>
          <w:b/>
          <w:bCs/>
          <w:color w:val="000000"/>
          <w:kern w:val="0"/>
          <w:sz w:val="32"/>
          <w:szCs w:val="32"/>
        </w:rPr>
        <w:t>工程</w:t>
      </w:r>
      <w:r w:rsidRPr="007D021F">
        <w:rPr>
          <w:rFonts w:asciiTheme="minorEastAsia" w:hAnsiTheme="minorEastAsia" w:cs="Arial"/>
          <w:b/>
          <w:bCs/>
          <w:color w:val="000000"/>
          <w:kern w:val="0"/>
          <w:sz w:val="32"/>
          <w:szCs w:val="32"/>
        </w:rPr>
        <w:t>相关内容解读</w:t>
      </w:r>
    </w:p>
    <w:p w14:paraId="6312AF0C" w14:textId="1B30C732" w:rsidR="00A63AA9" w:rsidRPr="007D021F" w:rsidRDefault="007D021F" w:rsidP="00676876">
      <w:pPr>
        <w:widowControl/>
        <w:jc w:val="center"/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</w:pPr>
      <w:r w:rsidRPr="007D02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（市场开发部</w:t>
      </w:r>
      <w:r w:rsidRPr="007D021F"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  <w:t>2026年3月</w:t>
      </w:r>
      <w:r w:rsidRPr="007D02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）</w:t>
      </w:r>
    </w:p>
    <w:p w14:paraId="39567A8B" w14:textId="77777777" w:rsidR="007D021F" w:rsidRPr="007D021F" w:rsidRDefault="007D021F" w:rsidP="00676876">
      <w:pPr>
        <w:widowControl/>
        <w:jc w:val="center"/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</w:pPr>
    </w:p>
    <w:p w14:paraId="1F4B41FD" w14:textId="7FE17A59" w:rsidR="00676876" w:rsidRPr="007D021F" w:rsidRDefault="00676876" w:rsidP="0094211E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2026年中央一号文件锚定农业农村现代化，将乡村基建、农业生产配套工程、生态治理工程等作为推进乡村全面振兴的核心抓手，</w:t>
      </w:r>
      <w:r w:rsidR="0094211E" w:rsidRPr="007D02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提升乡村产业发展水平、乡村建设水平、乡村治理水平，努力把农业建成现代化大产业、使农村基本具备现代生活条件、让农民生活更加富裕美好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。文件中相关工程建设内容覆盖耕地保护与农田建设、水利防灾减灾、农村市政基础设施、乡村生态修复、城乡融合配套工程五大核心板块，且明确了财政、金融、土地等多重政策保障，行业企业需紧扣政策导向，从业务布局、能力升级、模式创新等方面发力，实现与乡村振兴战略的深度衔接。</w:t>
      </w:r>
    </w:p>
    <w:p w14:paraId="237D4FFF" w14:textId="168EDF3B" w:rsidR="00676876" w:rsidRPr="007D021F" w:rsidRDefault="00676876" w:rsidP="00676876">
      <w:pPr>
        <w:widowControl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一、文件中建筑相关核心内容解读</w:t>
      </w:r>
    </w:p>
    <w:p w14:paraId="1972AC67" w14:textId="3CC02099" w:rsidR="00676876" w:rsidRPr="007D021F" w:rsidRDefault="00676876" w:rsidP="00676876">
      <w:pPr>
        <w:widowControl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（一）</w:t>
      </w:r>
      <w:r w:rsidR="00D5150A" w:rsidRPr="007D02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高标准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农田建设：高标准、全域化、智能化升级成核心方向</w:t>
      </w:r>
    </w:p>
    <w:p w14:paraId="188FB357" w14:textId="653BB143" w:rsidR="00676876" w:rsidRPr="007D021F" w:rsidRDefault="00676876" w:rsidP="00676876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文件将高标准农田建设作为保障粮食安全的基础性工程，提出分区分类高质量推进高标准农田建设，完善立项、建设、验收和管护机制，强化与灌区骨干工程衔接，同时实施黑土地保护、盐碱地综合利用、酸化耕地治理等专项工程。2026年全国规划新建和改造提升高标准农田超8000万亩</w:t>
      </w:r>
      <w:r w:rsidR="005D0083" w:rsidRPr="007D02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（中国日报</w:t>
      </w:r>
      <w:r w:rsidR="005D0083"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 xml:space="preserve"> 2026 年 2 月 11 日发布的《高标准农田建设迎 3 月爆发期 建筑行业抢占乡村基建新风口》</w:t>
      </w:r>
      <w:r w:rsidR="005D0083" w:rsidRPr="007D02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）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，粮食主产区还将专项债、超长期特别国债向该领域倾斜。</w:t>
      </w:r>
    </w:p>
    <w:p w14:paraId="3668DDA6" w14:textId="4D79CC93" w:rsidR="00676876" w:rsidRPr="007D021F" w:rsidRDefault="00676876" w:rsidP="00676876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lastRenderedPageBreak/>
        <w:t>建设内容不再局限于传统土地平整、沟渠修建，</w:t>
      </w:r>
      <w:r w:rsidR="00754FF2" w:rsidRPr="007D02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根据中共中央办公厅、国务院办公厅印发了《逐步把永久基本农田建成高标准农田实施方案》，建设标准</w:t>
      </w:r>
      <w:r w:rsidR="00D201EE" w:rsidRPr="007D02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以“一平”（田块平整）、“两通”（通水通路）、“三提升”（提升地力、产量、效益）为基本标准，合理确定不同区域、不同类型高标准农田建设标准和投入标准。省级层面细化制定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田块整治、灌溉排水、田间道路、输配电、农田防护、地力提升</w:t>
      </w:r>
      <w:r w:rsidR="00D201EE" w:rsidRPr="007D02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等具体要求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。</w:t>
      </w:r>
      <w:r w:rsidR="009512A1" w:rsidRPr="007D02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将建设重点放在田内，新建项目优先开展田块整治、田间灌排体系、田间道路和电力设施配套等基础建设。</w:t>
      </w:r>
    </w:p>
    <w:p w14:paraId="700C05C3" w14:textId="1EC81904" w:rsidR="00676876" w:rsidRPr="007D021F" w:rsidRDefault="00676876" w:rsidP="00676876">
      <w:pPr>
        <w:widowControl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（二）水利工程：防灾减灾与供水保障双轮驱动，建设标准全面提高</w:t>
      </w:r>
    </w:p>
    <w:p w14:paraId="18460F97" w14:textId="70F8CE3D" w:rsidR="00676876" w:rsidRPr="007D021F" w:rsidRDefault="00676876" w:rsidP="00D52C90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1. 防灾减灾工程：推进大江大河控制性枢纽、堤防达标提标、蓄滞洪区建设，强化病险水库、大中型病险水闸除险加固；加强农田沟渠修复、中小河流治理、平原涝区治理，提升山洪沟防洪能力，重点加强北方地区防洪排涝体系建设并适度提高工程标准；建设抗旱应急水源工程和农田排涝设施，健全救灾机具应急调用机制。</w:t>
      </w:r>
    </w:p>
    <w:p w14:paraId="2FCF0A4B" w14:textId="66311DB1" w:rsidR="00676876" w:rsidRPr="007D021F" w:rsidRDefault="00676876" w:rsidP="00D52C90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2. 供水保障工程：支持小型引调水工程建设，分类提升农村供水保障水平，有条件地区推行农村供水县域统管和专业化管护；推进大中型灌区现代化改造，强化高标准农田渠系与灌区骨干工程的衔接，提升农业灌溉供水效率。</w:t>
      </w:r>
    </w:p>
    <w:p w14:paraId="34CA9EB6" w14:textId="07925C30" w:rsidR="00676876" w:rsidRPr="007D021F" w:rsidRDefault="00676876" w:rsidP="00676876">
      <w:pPr>
        <w:widowControl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 xml:space="preserve"> （三）农村市政基础设施：补短板、一体化、数字化，覆盖生产生活全场景</w:t>
      </w:r>
    </w:p>
    <w:p w14:paraId="5C37802F" w14:textId="77777777" w:rsidR="00676876" w:rsidRPr="007D021F" w:rsidRDefault="00676876" w:rsidP="00676876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lastRenderedPageBreak/>
        <w:t>以“农村基本具备现代生活条件”为目标，推进县域基础设施一体化规划建设管护，核心建设内容包括：</w:t>
      </w:r>
    </w:p>
    <w:p w14:paraId="1FDD7ADF" w14:textId="77777777" w:rsidR="00676876" w:rsidRPr="007D021F" w:rsidRDefault="00676876" w:rsidP="00D52C90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1. 交通物流：改造农村老旧公路、拓宽过窄公路、提升次差路段，加强安全防护设施；支持农村寄递物流设施共建共享，推动客货邮融合发展，深化快递进村，健全农村客运稳定运行保障机制。</w:t>
      </w:r>
    </w:p>
    <w:p w14:paraId="4AEFC1A8" w14:textId="75CEF6C3" w:rsidR="00676876" w:rsidRPr="007D021F" w:rsidRDefault="00676876" w:rsidP="00D52C90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2. 能源通信：提升农村电网供电保障和综合承载能力，扩大农村充电设施覆盖范围；实施数字乡村高质量发展行动，提升农村及偏远地区网络覆盖水平。</w:t>
      </w:r>
    </w:p>
    <w:p w14:paraId="6AE521C5" w14:textId="59214057" w:rsidR="00676876" w:rsidRPr="007D021F" w:rsidRDefault="00676876" w:rsidP="00D52C90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3. 住房建设：持续实施农村危房改造，推动现代宜居农房建设，兼顾安全性和实用性。</w:t>
      </w:r>
    </w:p>
    <w:p w14:paraId="7DE6C52C" w14:textId="0EBF835F" w:rsidR="00676876" w:rsidRPr="007D021F" w:rsidRDefault="00676876" w:rsidP="00D52C90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4. 公共服务配套：推进县级医院、重点中心乡镇卫生院提质升级，优化农村中小学、幼儿园布局，建设县乡普惠托育、养老服务设施，完善农村殡葬公共服务体系。</w:t>
      </w:r>
    </w:p>
    <w:p w14:paraId="19272119" w14:textId="447E8408" w:rsidR="00676876" w:rsidRPr="007D021F" w:rsidRDefault="00676876" w:rsidP="00676876">
      <w:pPr>
        <w:widowControl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（四）乡村生态修复与环境治理工程：一体化推进，强化工程化落地</w:t>
      </w:r>
    </w:p>
    <w:p w14:paraId="0D2D7628" w14:textId="77777777" w:rsidR="00676876" w:rsidRPr="007D021F" w:rsidRDefault="00676876" w:rsidP="00676876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将生态保护修复与农村人居环境整治结合，明确多项硬性工程任务：</w:t>
      </w:r>
    </w:p>
    <w:p w14:paraId="241A873E" w14:textId="2DEE6DC9" w:rsidR="00676876" w:rsidRPr="007D021F" w:rsidRDefault="00676876" w:rsidP="00D52C90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1. 人居环境整治：解决农村改厕、垃圾围村问题，完善农村厕所社会化管护体系；因地制宜建设农村生活污水处理设施，优化低效无效设施，消除黑臭水体；推进农村生活垃圾源头减量和收运处置体系建设。</w:t>
      </w:r>
    </w:p>
    <w:p w14:paraId="28C31D88" w14:textId="449CB2B7" w:rsidR="00676876" w:rsidRPr="007D021F" w:rsidRDefault="00676876" w:rsidP="00D52C90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lastRenderedPageBreak/>
        <w:t>2. 农业生态治理：推进农业面源污染系统治理，开展土壤重金属污染溯源与整治，加强畜禽养殖粪污、海水养殖生态环境综合治理；提升秸秆综合利用能力，推广节水灌溉、绿色生产技术。</w:t>
      </w:r>
    </w:p>
    <w:p w14:paraId="6050B33C" w14:textId="4E375AFB" w:rsidR="00676876" w:rsidRPr="007D021F" w:rsidRDefault="00676876" w:rsidP="00D13175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3. 生态保护工程：加强重要江河湖库系统治理、重点流域水土流失综合治理，全面推进“三北”工程建设，巩固防沙治沙成果；推进农田防护林建设，加强森林草原防灭火基础设施建设。</w:t>
      </w:r>
    </w:p>
    <w:p w14:paraId="73B24028" w14:textId="1CA657EF" w:rsidR="00676876" w:rsidRPr="007D021F" w:rsidRDefault="00676876" w:rsidP="00676876">
      <w:pPr>
        <w:widowControl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 xml:space="preserve"> （五）城乡融合与国土空间整治工程：统筹布局，集约利用土地</w:t>
      </w:r>
    </w:p>
    <w:p w14:paraId="18542ACE" w14:textId="664264DE" w:rsidR="00676876" w:rsidRPr="007D021F" w:rsidRDefault="00676876" w:rsidP="00D13175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1. 乡村国土空间优化：结合人口变化和自然灾害防范，优化村镇布局，开展全域土地综合整治，在耕地数量不减少、质量有提高的前提下，分类保障乡村发展用地，支持边境地区村镇建设。</w:t>
      </w:r>
    </w:p>
    <w:p w14:paraId="07677371" w14:textId="641F9C7D" w:rsidR="00676876" w:rsidRPr="007D021F" w:rsidRDefault="00676876" w:rsidP="00D13175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2. 农村资源盘活配套工程：有序推进农村集体经营性建设用地入市，优先用于集体经济和乡村产业建设；依法盘活农村闲置土地和房屋，规范农房宅基地建设审批，加强村级劳务用工和工程建设管理。</w:t>
      </w:r>
    </w:p>
    <w:p w14:paraId="26C4693B" w14:textId="6816BCC2" w:rsidR="00676876" w:rsidRPr="007D021F" w:rsidRDefault="00676876" w:rsidP="00676876">
      <w:pPr>
        <w:widowControl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 xml:space="preserve"> 二、行业企业紧跟政策的发展策略</w:t>
      </w:r>
    </w:p>
    <w:p w14:paraId="6D936B4E" w14:textId="19012ACA" w:rsidR="00676876" w:rsidRPr="007D021F" w:rsidRDefault="00676876" w:rsidP="00D13175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建筑、水利、市政等</w:t>
      </w:r>
      <w:r w:rsidR="00F730A7" w:rsidRPr="007D02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建设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领域企业需立足自身规模和技术优势，精准对接政策需求，从市场布局、能力升级、模式创新、合规经营四个维度发力，实现与乡村振兴政策的同频共振，推动企业有序良好发展。</w:t>
      </w:r>
    </w:p>
    <w:p w14:paraId="4B88826D" w14:textId="58CA423D" w:rsidR="00676876" w:rsidRPr="007D021F" w:rsidRDefault="00676876" w:rsidP="00676876">
      <w:pPr>
        <w:widowControl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 xml:space="preserve"> （一）精准布局市场，抢抓政策落地窗口期</w:t>
      </w:r>
    </w:p>
    <w:p w14:paraId="4F006970" w14:textId="28BFE0BB" w:rsidR="00676876" w:rsidRPr="007D021F" w:rsidRDefault="00676876" w:rsidP="008E17D1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1. 聚焦粮食主产区，抢占高标准农田建设风口：</w:t>
      </w:r>
      <w:r w:rsidR="00F34534" w:rsidRPr="00F34534">
        <w:rPr>
          <w:rFonts w:asciiTheme="minorEastAsia" w:hAnsiTheme="minorEastAsia" w:cs="Arial"/>
          <w:color w:val="000000"/>
          <w:kern w:val="0"/>
          <w:sz w:val="28"/>
          <w:szCs w:val="28"/>
        </w:rPr>
        <w:t>2026 年一季度全国高标准农田建设项目超千个集中开工，黑龙江、河南、山</w:t>
      </w:r>
      <w:r w:rsidR="00F34534" w:rsidRPr="00F34534">
        <w:rPr>
          <w:rFonts w:asciiTheme="minorEastAsia" w:hAnsiTheme="minorEastAsia" w:cs="Arial"/>
          <w:color w:val="000000"/>
          <w:kern w:val="0"/>
          <w:sz w:val="28"/>
          <w:szCs w:val="28"/>
        </w:rPr>
        <w:lastRenderedPageBreak/>
        <w:t>东、吉林等粮食主产区迎来招标潮，黑龙江单省 3 月即开工 600 余个项目。大型企业可重点对接粮食主产区 EPC 总承包项目，中小企业可聚焦田间道路硬化、小型泵站建设、节水灌溉管网铺设等子项目，本地化企业可依托地域优势承接小微工程，把握 “上半年扎堆落地、3 月集中爆发” 的项目窗口期。</w:t>
      </w:r>
      <w:r w:rsidR="00F34534" w:rsidRPr="00F34534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山东省则推出“高标准农田建设包”</w:t>
      </w:r>
      <w:r w:rsidR="00F34534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，</w:t>
      </w:r>
      <w:r w:rsidR="00F34534" w:rsidRPr="00F34534">
        <w:rPr>
          <w:rFonts w:asciiTheme="minorEastAsia" w:hAnsiTheme="minorEastAsia" w:cs="Arial"/>
          <w:color w:val="000000"/>
          <w:kern w:val="0"/>
          <w:sz w:val="28"/>
          <w:szCs w:val="28"/>
        </w:rPr>
        <w:t>将零散项目整合为规模化工程包,面向建筑企业公开招标</w:t>
      </w:r>
      <w:r w:rsidR="00F34534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，</w:t>
      </w:r>
      <w:r w:rsidR="00F34534" w:rsidRPr="00F34534">
        <w:rPr>
          <w:rFonts w:asciiTheme="minorEastAsia" w:hAnsiTheme="minorEastAsia" w:cs="Arial"/>
          <w:color w:val="000000"/>
          <w:kern w:val="0"/>
          <w:sz w:val="28"/>
          <w:szCs w:val="28"/>
        </w:rPr>
        <w:t>降低中小企业参与门槛。</w:t>
      </w:r>
      <w:r w:rsidR="008C404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（中国日报</w:t>
      </w:r>
      <w:r w:rsidR="00290A74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转载</w:t>
      </w:r>
      <w:r w:rsidR="008C4047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）</w:t>
      </w:r>
    </w:p>
    <w:p w14:paraId="5DD9BF5C" w14:textId="04166722" w:rsidR="00676876" w:rsidRPr="007D021F" w:rsidRDefault="00676876" w:rsidP="008E17D1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2. 布局欠发达地区和边境地区，对接常态化帮扶工程：文件提出分层分类帮扶欠发达地区，推动区域性、跨区域重大基础设施建设，支持边境地区城镇和村庄建设。企业可重点对接中西部乡村振兴重点帮扶县的交通、水利、公共服务配套工程，参与东西部协作项目的招投标。</w:t>
      </w:r>
    </w:p>
    <w:p w14:paraId="5ADECAC9" w14:textId="01F20925" w:rsidR="00676876" w:rsidRPr="007D021F" w:rsidRDefault="00676876" w:rsidP="008E17D1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3. 深耕县域市场，打造城乡融合基建服务能力：以县域为核心布局农村市政基础设施建设，重点承接农村公路、电网、充电设施、寄递物流设施、宜居农房、公共服务设施等一体化工程，契合“县域基础设施一体化规划建设管护”的政策要求。</w:t>
      </w:r>
    </w:p>
    <w:p w14:paraId="30167323" w14:textId="6694E577" w:rsidR="00676876" w:rsidRPr="007D021F" w:rsidRDefault="00676876" w:rsidP="00676876">
      <w:pPr>
        <w:widowControl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 xml:space="preserve"> （二）升级核心能力，适配政策对工程“高质量、智能化、生态化”要求</w:t>
      </w:r>
    </w:p>
    <w:p w14:paraId="2E3393DD" w14:textId="326B433F" w:rsidR="00676876" w:rsidRPr="007D021F" w:rsidRDefault="00676876" w:rsidP="00AE1226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1. 提升专业工程能力，打造细分领域核心优势</w:t>
      </w:r>
      <w:r w:rsidR="00160B2C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  <w:r w:rsidR="00AE122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工程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企业重点强化防洪排涝、灌区改造、小型引调水工程的设计和施工能力，适配北方防洪排涝标准提高、灌区现代化改造的需求；拓展农村充电设施、数字乡村网络基站、寄递物流园区等新型市政工程建设能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lastRenderedPageBreak/>
        <w:t>力；深耕黑土地保护、盐碱地综合利用、高效节水灌溉等专项技术，掌握土壤改良、数字化监测设施安装等核心工艺。</w:t>
      </w:r>
    </w:p>
    <w:p w14:paraId="0BBC505E" w14:textId="7C887712" w:rsidR="00676876" w:rsidRPr="007D021F" w:rsidRDefault="00676876" w:rsidP="000E5228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2. 加快智能化技术融合，布局农业新质生产力配套工程</w:t>
      </w:r>
      <w:r w:rsidR="00160B2C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文件提出发展农业新质生产力，促进人工智能与农业结合。企业需加大无人机测绘、物联网监测设施、智能灌溉系统、农业数字化平台等配套工程的技术研发和应用，参与高标准农田数字化监测设施、数字乡村通信网络等项目建设，抢占百亿元级智能化农田配套市场。</w:t>
      </w:r>
    </w:p>
    <w:p w14:paraId="5BA66089" w14:textId="6372D427" w:rsidR="00676876" w:rsidRPr="007D021F" w:rsidRDefault="00676876" w:rsidP="000E5228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3. 强化生态工程能力，实现“工程建设+生态保护”融合</w:t>
      </w:r>
      <w:r w:rsidR="00160B2C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将生态设计融入工程建设全流程，重点提升农村生活污水治理、土壤污染修复、水土流失治理、农田防护林建设等生态工程能力，适配文件“一体化推进乡村生态保护修复”的要求，例如在高标准农田建设中同步打造生态廊道、生态缓冲带。</w:t>
      </w:r>
    </w:p>
    <w:p w14:paraId="18D25F48" w14:textId="141FFCFA" w:rsidR="00676876" w:rsidRPr="007D021F" w:rsidRDefault="00676876" w:rsidP="00676876">
      <w:pPr>
        <w:widowControl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 xml:space="preserve"> （三）创新经营模式，适配乡村基建的项目特点和政策保障机制</w:t>
      </w:r>
    </w:p>
    <w:p w14:paraId="599E1C21" w14:textId="4411F84D" w:rsidR="00676876" w:rsidRPr="007D021F" w:rsidRDefault="00676876" w:rsidP="000E5228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1. 对接EPC总承包模式，提升大型项目统筹能力</w:t>
      </w:r>
      <w:r w:rsidR="00160B2C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针对高标准农田、县域基础设施一体化等全域化、综合性项目，大型建筑企业需组建专项团队，提升EPC总承包能力，统筹规划、设计、施工、管护全流程，契合地方政府“跨部门协同审批、规模化推进项目”的需求。</w:t>
      </w:r>
    </w:p>
    <w:p w14:paraId="21AA0910" w14:textId="4DF982BD" w:rsidR="00676876" w:rsidRPr="007D021F" w:rsidRDefault="00676876" w:rsidP="00C91664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2. 探索“建管一体化”模式，延伸工程服务链条</w:t>
      </w:r>
      <w:r w:rsidR="00160B2C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文件强调健全农村基础设施管护长效机制，企业可从“单一施工”向“建设+运营+管护”转型，例如承接农村供水、污水处理、垃圾收运等设施的建设和后续管护，通过长期管护服务实现稳定收益。</w:t>
      </w:r>
    </w:p>
    <w:p w14:paraId="132A73F2" w14:textId="7FA6AED7" w:rsidR="00676876" w:rsidRPr="007D021F" w:rsidRDefault="00676876" w:rsidP="00C91664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lastRenderedPageBreak/>
        <w:t>3. 借力政策资金保障，拓宽投融资渠道</w:t>
      </w:r>
      <w:r w:rsidR="00160B2C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文件明确用足用好专项债、超长期特别国债，健全财政金融协同支农机制，加大涉农贷款展期、续贷支持。企业可主动对接地方财政和金融机构，利用专项债、支农再贷款等政策工具解决项目资金问题；同时引导社会资本参与乡村基建项目，健全风险防范机制，实现多方合作共赢。</w:t>
      </w:r>
    </w:p>
    <w:p w14:paraId="7268C160" w14:textId="4D750410" w:rsidR="00676876" w:rsidRPr="007D021F" w:rsidRDefault="00676876" w:rsidP="00C91664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4. 参与“以工代赈”项目，契合乡村就业帮扶需求</w:t>
      </w:r>
      <w:r w:rsidR="00160B2C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文件扩大以工代赈项目覆盖范围和建设领域，鼓励农村基层自主实施项目。企业可承接以工代赈类的农村公路、农田沟渠、人居环境整治等工程，在施工中优先雇佣当地农民，既契合政策要求，又降低用工成本，提升项目地方认可度。</w:t>
      </w:r>
    </w:p>
    <w:p w14:paraId="0078C3E9" w14:textId="773215E5" w:rsidR="00676876" w:rsidRPr="007D021F" w:rsidRDefault="00676876" w:rsidP="00676876">
      <w:pPr>
        <w:widowControl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 xml:space="preserve">  （</w:t>
      </w:r>
      <w:r w:rsidR="00B35C95" w:rsidRPr="007D02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四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）加强人才培养与资源整合，适配乡村基建的地域特点</w:t>
      </w:r>
    </w:p>
    <w:p w14:paraId="3400671C" w14:textId="65566E65" w:rsidR="00676876" w:rsidRPr="007D021F" w:rsidRDefault="00676876" w:rsidP="00B35C95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1. 培育乡村基建专业人才</w:t>
      </w:r>
      <w:r w:rsidR="00160B2C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针对农村工程地域分散、施工条件复杂的特点，培养兼具工程技术和乡村实际工作经验的人才，重点提升基层项目管理、现场协调能力；同时对接涉农高校新农科建设，引进农业工程、生态治理等专业人才，强化技术支撑。</w:t>
      </w:r>
    </w:p>
    <w:p w14:paraId="0E80701F" w14:textId="130A406D" w:rsidR="00676876" w:rsidRPr="007D021F" w:rsidRDefault="00676876" w:rsidP="00B35C95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2. 整合本地化资源，降低施工成本</w:t>
      </w:r>
      <w:r w:rsidR="00160B2C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乡村基建项目多分布于县域和乡村，企业可与当地建材供应商、施工队伍建立合作关系，整合本地化资源，减少建材运输、人员调配成本；同时吸纳当地乡村工匠参与工程建设，契合文件“推进乡村工匠培育工程”的要求。</w:t>
      </w:r>
    </w:p>
    <w:p w14:paraId="4B376370" w14:textId="0BBC275B" w:rsidR="00676876" w:rsidRPr="007D021F" w:rsidRDefault="00676876" w:rsidP="00B35C95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3. 加强跨行业合作，实现资源互补</w:t>
      </w:r>
      <w:r w:rsidR="00160B2C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与农业科技企业、物联网企业、生态环保企业合作，整合技术、设备、人才资源，共同承接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lastRenderedPageBreak/>
        <w:t>高标准农田、数字乡村、生态修复等复合型项目，提升项目综合服务能力。</w:t>
      </w:r>
    </w:p>
    <w:p w14:paraId="26EE9256" w14:textId="1700D8EE" w:rsidR="00676876" w:rsidRPr="007D021F" w:rsidRDefault="00676876" w:rsidP="00676876">
      <w:pPr>
        <w:widowControl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 xml:space="preserve"> 三、总结</w:t>
      </w:r>
    </w:p>
    <w:p w14:paraId="2970AE22" w14:textId="70FD8058" w:rsidR="00676876" w:rsidRPr="007D021F" w:rsidRDefault="00676876" w:rsidP="00676876">
      <w:pPr>
        <w:widowControl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2026年中央一号文件为</w:t>
      </w:r>
      <w:r w:rsidR="00D71BC9" w:rsidRPr="007D02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工程</w:t>
      </w:r>
      <w:r w:rsidRPr="007D021F">
        <w:rPr>
          <w:rFonts w:asciiTheme="minorEastAsia" w:hAnsiTheme="minorEastAsia" w:cs="Arial"/>
          <w:color w:val="000000"/>
          <w:kern w:val="0"/>
          <w:sz w:val="28"/>
          <w:szCs w:val="28"/>
        </w:rPr>
        <w:t>行业打开了万亿级乡村基建市场，政策的核心导向是“高质量、智能化、生态化、一体化”，且提供了财政、金融、土地、审批等多重保障。行业企业需摒弃传统农村工程“低标准、粗放式”的建设思维，紧扣农业农村现代化的目标，将自身发展与乡村全面振兴深度结合，通过精准布局市场、升级核心能力、创新经营模式、坚守合规经营，在抢抓政策机遇的同时，推动企业向高质量、专业化、可持续方向发展，既实现经济效益的提升，又为乡村振兴贡献行业力量。</w:t>
      </w:r>
    </w:p>
    <w:p w14:paraId="62D50D5D" w14:textId="77777777" w:rsidR="00676876" w:rsidRPr="007D021F" w:rsidRDefault="00676876" w:rsidP="00676876">
      <w:pPr>
        <w:widowControl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</w:p>
    <w:sectPr w:rsidR="00676876" w:rsidRPr="007D0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7783" w14:textId="77777777" w:rsidR="00D72A31" w:rsidRDefault="00D72A31" w:rsidP="007D021F">
      <w:r>
        <w:separator/>
      </w:r>
    </w:p>
  </w:endnote>
  <w:endnote w:type="continuationSeparator" w:id="0">
    <w:p w14:paraId="74F2FBB9" w14:textId="77777777" w:rsidR="00D72A31" w:rsidRDefault="00D72A31" w:rsidP="007D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07DC4" w14:textId="77777777" w:rsidR="00D72A31" w:rsidRDefault="00D72A31" w:rsidP="007D021F">
      <w:r>
        <w:separator/>
      </w:r>
    </w:p>
  </w:footnote>
  <w:footnote w:type="continuationSeparator" w:id="0">
    <w:p w14:paraId="7D2CD881" w14:textId="77777777" w:rsidR="00D72A31" w:rsidRDefault="00D72A31" w:rsidP="007D0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76"/>
    <w:rsid w:val="000D62E0"/>
    <w:rsid w:val="000E5228"/>
    <w:rsid w:val="00160B2C"/>
    <w:rsid w:val="00244798"/>
    <w:rsid w:val="0025371E"/>
    <w:rsid w:val="00290A74"/>
    <w:rsid w:val="005D0083"/>
    <w:rsid w:val="00675ACD"/>
    <w:rsid w:val="00676876"/>
    <w:rsid w:val="00754FF2"/>
    <w:rsid w:val="007D021F"/>
    <w:rsid w:val="00816979"/>
    <w:rsid w:val="008C4047"/>
    <w:rsid w:val="008E17D1"/>
    <w:rsid w:val="0094211E"/>
    <w:rsid w:val="009512A1"/>
    <w:rsid w:val="00A63AA9"/>
    <w:rsid w:val="00AE1226"/>
    <w:rsid w:val="00B35C95"/>
    <w:rsid w:val="00C91664"/>
    <w:rsid w:val="00D13175"/>
    <w:rsid w:val="00D201EE"/>
    <w:rsid w:val="00D5150A"/>
    <w:rsid w:val="00D52C90"/>
    <w:rsid w:val="00D71BC9"/>
    <w:rsid w:val="00D72A31"/>
    <w:rsid w:val="00ED40F8"/>
    <w:rsid w:val="00F34534"/>
    <w:rsid w:val="00F730A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D1E47"/>
  <w15:chartTrackingRefBased/>
  <w15:docId w15:val="{500E34FA-BE7B-433A-87AA-6B934EEA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02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0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02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史承功</dc:creator>
  <cp:keywords/>
  <dc:description/>
  <cp:lastModifiedBy>史承功</cp:lastModifiedBy>
  <cp:revision>24</cp:revision>
  <dcterms:created xsi:type="dcterms:W3CDTF">2026-03-03T06:44:00Z</dcterms:created>
  <dcterms:modified xsi:type="dcterms:W3CDTF">2026-03-04T00:59:00Z</dcterms:modified>
</cp:coreProperties>
</file>