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FB84" w14:textId="77777777" w:rsidR="00D74127" w:rsidRDefault="004057F1" w:rsidP="005835E1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近五年（</w:t>
      </w:r>
      <w:r>
        <w:rPr>
          <w:rFonts w:ascii="Arial" w:eastAsia="等线" w:hAnsi="Arial" w:cs="Arial"/>
          <w:b/>
          <w:sz w:val="52"/>
        </w:rPr>
        <w:t>2021-2025</w:t>
      </w:r>
      <w:r>
        <w:rPr>
          <w:rFonts w:ascii="Arial" w:eastAsia="等线" w:hAnsi="Arial" w:cs="Arial"/>
          <w:b/>
          <w:sz w:val="52"/>
        </w:rPr>
        <w:t>）水利工程注册建造师考试选择题高频考点汇总</w:t>
      </w:r>
    </w:p>
    <w:p w14:paraId="0738AF74" w14:textId="72F673ED" w:rsidR="00D74127" w:rsidRDefault="004057F1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内容为：</w:t>
      </w:r>
      <w:r>
        <w:rPr>
          <w:rFonts w:ascii="Arial" w:eastAsia="等线" w:hAnsi="Arial" w:cs="Arial"/>
          <w:b/>
          <w:sz w:val="22"/>
        </w:rPr>
        <w:t>近五年（</w:t>
      </w:r>
      <w:r>
        <w:rPr>
          <w:rFonts w:ascii="Arial" w:eastAsia="等线" w:hAnsi="Arial" w:cs="Arial"/>
          <w:b/>
          <w:sz w:val="22"/>
        </w:rPr>
        <w:t>2021—2025</w:t>
      </w:r>
      <w:r>
        <w:rPr>
          <w:rFonts w:ascii="Arial" w:eastAsia="等线" w:hAnsi="Arial" w:cs="Arial"/>
          <w:b/>
          <w:sz w:val="22"/>
        </w:rPr>
        <w:t>）一建</w:t>
      </w:r>
      <w:r>
        <w:rPr>
          <w:rFonts w:ascii="Arial" w:eastAsia="等线" w:hAnsi="Arial" w:cs="Arial"/>
          <w:b/>
          <w:sz w:val="22"/>
        </w:rPr>
        <w:t xml:space="preserve"> / </w:t>
      </w:r>
      <w:r>
        <w:rPr>
          <w:rFonts w:ascii="Arial" w:eastAsia="等线" w:hAnsi="Arial" w:cs="Arial"/>
          <w:b/>
          <w:sz w:val="22"/>
        </w:rPr>
        <w:t>二建水利水电工程选择题高频考点</w:t>
      </w:r>
      <w:r>
        <w:rPr>
          <w:rFonts w:ascii="Arial" w:eastAsia="等线" w:hAnsi="Arial" w:cs="Arial"/>
          <w:sz w:val="22"/>
        </w:rPr>
        <w:t>，每点标注</w:t>
      </w:r>
      <w:r>
        <w:rPr>
          <w:rFonts w:ascii="Arial" w:eastAsia="等线" w:hAnsi="Arial" w:cs="Arial"/>
          <w:b/>
          <w:sz w:val="22"/>
        </w:rPr>
        <w:t>考查年份</w:t>
      </w:r>
      <w:r>
        <w:rPr>
          <w:rFonts w:ascii="Arial" w:eastAsia="等线" w:hAnsi="Arial" w:cs="Arial"/>
          <w:sz w:val="22"/>
        </w:rPr>
        <w:t>，聚焦选择题核心考点，剔除冗余内容，适配备考背诵。</w:t>
      </w:r>
    </w:p>
    <w:p w14:paraId="24AFA6F8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01A549EB" w14:textId="77777777" w:rsidR="00D74127" w:rsidRDefault="004057F1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近五年（</w:t>
      </w:r>
      <w:r>
        <w:rPr>
          <w:rFonts w:ascii="Arial" w:eastAsia="等线" w:hAnsi="Arial" w:cs="Arial"/>
          <w:b/>
          <w:sz w:val="36"/>
        </w:rPr>
        <w:t>2021—2025</w:t>
      </w:r>
      <w:r>
        <w:rPr>
          <w:rFonts w:ascii="Arial" w:eastAsia="等线" w:hAnsi="Arial" w:cs="Arial"/>
          <w:b/>
          <w:sz w:val="36"/>
        </w:rPr>
        <w:t>）水利工程注册建造师考试</w:t>
      </w:r>
      <w:bookmarkEnd w:id="0"/>
    </w:p>
    <w:p w14:paraId="3D117D56" w14:textId="77777777" w:rsidR="00D74127" w:rsidRDefault="004057F1">
      <w:pPr>
        <w:spacing w:before="380" w:after="140" w:line="288" w:lineRule="auto"/>
        <w:jc w:val="left"/>
        <w:outlineLvl w:val="0"/>
      </w:pPr>
      <w:bookmarkStart w:id="1" w:name="heading_1"/>
      <w:r>
        <w:rPr>
          <w:rFonts w:ascii="Arial" w:eastAsia="等线" w:hAnsi="Arial" w:cs="Arial"/>
          <w:b/>
          <w:sz w:val="36"/>
        </w:rPr>
        <w:t>选择题高频考点汇总（文件版）</w:t>
      </w:r>
      <w:bookmarkEnd w:id="1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D74127" w14:paraId="61821309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21239" w14:textId="77777777" w:rsidR="00D74127" w:rsidRDefault="004057F1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646A73"/>
                <w:sz w:val="22"/>
              </w:rPr>
              <w:t>适用：一建、二建水利水电工程管理与实务选择题备考；标注：</w:t>
            </w:r>
            <w:r>
              <w:rPr>
                <w:rFonts w:ascii="Arial" w:eastAsia="等线" w:hAnsi="Arial" w:cs="Arial"/>
                <w:b/>
                <w:color w:val="646A73"/>
                <w:sz w:val="22"/>
              </w:rPr>
              <w:t>2021—2025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 </w:t>
            </w:r>
            <w:r>
              <w:rPr>
                <w:rFonts w:ascii="Arial" w:eastAsia="等线" w:hAnsi="Arial" w:cs="Arial"/>
                <w:color w:val="646A73"/>
                <w:sz w:val="22"/>
              </w:rPr>
              <w:t>表示连续多年高频，个别年份单独标出；考点结合近年真题命题重点整理，贴合考试趋势。</w:t>
            </w:r>
          </w:p>
        </w:tc>
      </w:tr>
    </w:tbl>
    <w:p w14:paraId="5621238C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505DA58C" w14:textId="77777777" w:rsidR="00D74127" w:rsidRDefault="004057F1">
      <w:pPr>
        <w:spacing w:before="380" w:after="140" w:line="288" w:lineRule="auto"/>
        <w:jc w:val="left"/>
        <w:outlineLvl w:val="0"/>
      </w:pPr>
      <w:bookmarkStart w:id="2" w:name="heading_2"/>
      <w:r>
        <w:rPr>
          <w:rFonts w:ascii="Arial" w:eastAsia="等线" w:hAnsi="Arial" w:cs="Arial"/>
          <w:b/>
          <w:sz w:val="36"/>
        </w:rPr>
        <w:t>一、水利水电工程勘测与测量（选择高频）</w:t>
      </w:r>
      <w:bookmarkEnd w:id="2"/>
    </w:p>
    <w:p w14:paraId="33A4D715" w14:textId="77777777" w:rsidR="00D74127" w:rsidRDefault="004057F1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常用测量仪器使用</w:t>
      </w:r>
      <w:r>
        <w:rPr>
          <w:rFonts w:ascii="Arial" w:eastAsia="等线" w:hAnsi="Arial" w:cs="Arial"/>
          <w:sz w:val="22"/>
        </w:rPr>
        <w:t>：微倾水准仪使用步骤（粗平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调焦照准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精平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读数）、经纬仪使用步骤（对中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整平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照准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读数）；视差产生原因及读数规则，考查年份：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5DC17B2" w14:textId="77777777" w:rsidR="00D74127" w:rsidRDefault="004057F1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施工放样与变形监测</w:t>
      </w:r>
      <w:r>
        <w:rPr>
          <w:rFonts w:ascii="Arial" w:eastAsia="等线" w:hAnsi="Arial" w:cs="Arial"/>
          <w:sz w:val="22"/>
        </w:rPr>
        <w:t>：放样数据准备要求、开挖工程测量内容；变形监测基点与测点布设要求，滑坡、高边坡稳定监测方法，考查年份：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785E40C" w14:textId="77777777" w:rsidR="00D74127" w:rsidRDefault="004057F1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工程地质问题</w:t>
      </w:r>
      <w:r>
        <w:rPr>
          <w:rFonts w:ascii="Arial" w:eastAsia="等线" w:hAnsi="Arial" w:cs="Arial"/>
          <w:sz w:val="22"/>
        </w:rPr>
        <w:t>：边坡破坏形式（松弛张裂、蠕变、崩塌、滑坡），滑坡的分布特点及危害；基坑降排水目的及管井井点适用条件，考查年份：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68A9F23" w14:textId="77777777" w:rsidR="00D74127" w:rsidRDefault="004057F1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渗流现象识别</w:t>
      </w:r>
      <w:r>
        <w:rPr>
          <w:rFonts w:ascii="Arial" w:eastAsia="等线" w:hAnsi="Arial" w:cs="Arial"/>
          <w:sz w:val="22"/>
        </w:rPr>
        <w:t>：流土、管涌的定义及区别，非黏性土流土的判定，考查年份：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F07E870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1D6D1204" w14:textId="77777777" w:rsidR="00D74127" w:rsidRDefault="004057F1">
      <w:pPr>
        <w:spacing w:before="380" w:after="140" w:line="288" w:lineRule="auto"/>
        <w:jc w:val="left"/>
        <w:outlineLvl w:val="0"/>
      </w:pPr>
      <w:bookmarkStart w:id="3" w:name="heading_3"/>
      <w:r>
        <w:rPr>
          <w:rFonts w:ascii="Arial" w:eastAsia="等线" w:hAnsi="Arial" w:cs="Arial"/>
          <w:b/>
          <w:sz w:val="36"/>
        </w:rPr>
        <w:lastRenderedPageBreak/>
        <w:t>二、水利水电工程设计与等别划分（选择高频）</w:t>
      </w:r>
      <w:bookmarkEnd w:id="3"/>
    </w:p>
    <w:p w14:paraId="7C58EAB5" w14:textId="77777777" w:rsidR="00D74127" w:rsidRDefault="004057F1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工程等别划分</w:t>
      </w:r>
      <w:r>
        <w:rPr>
          <w:rFonts w:ascii="Arial" w:eastAsia="等线" w:hAnsi="Arial" w:cs="Arial"/>
          <w:sz w:val="22"/>
        </w:rPr>
        <w:t>：水利水电工程按规模、效益及重要性划分为五等；综合利用工程等</w:t>
      </w:r>
      <w:r>
        <w:rPr>
          <w:rFonts w:ascii="Arial" w:eastAsia="等线" w:hAnsi="Arial" w:cs="Arial"/>
          <w:sz w:val="22"/>
        </w:rPr>
        <w:t>别的确定原则，考查年份：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A3117FD" w14:textId="77777777" w:rsidR="00D74127" w:rsidRDefault="004057F1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水工建筑物级别</w:t>
      </w:r>
      <w:r>
        <w:rPr>
          <w:rFonts w:ascii="Arial" w:eastAsia="等线" w:hAnsi="Arial" w:cs="Arial"/>
          <w:sz w:val="22"/>
        </w:rPr>
        <w:t>：永久性水工建筑物（水库、水电站、堤防）级别划分；临时性水工建筑物级别相关要求，考查年份：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8723707" w14:textId="77777777" w:rsidR="00D74127" w:rsidRDefault="004057F1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水库特征与合理使用年限</w:t>
      </w:r>
      <w:r>
        <w:rPr>
          <w:rFonts w:ascii="Arial" w:eastAsia="等线" w:hAnsi="Arial" w:cs="Arial"/>
          <w:sz w:val="22"/>
        </w:rPr>
        <w:t>：水库特征水位及特征库容相关概念；水利水电工程合理使用年限的确定原则，考查年份：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0B5D398" w14:textId="77777777" w:rsidR="00D74127" w:rsidRDefault="004057F1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水资源规划层次</w:t>
      </w:r>
      <w:r>
        <w:rPr>
          <w:rFonts w:ascii="Arial" w:eastAsia="等线" w:hAnsi="Arial" w:cs="Arial"/>
          <w:sz w:val="22"/>
        </w:rPr>
        <w:t>：水资源规划按层次分为全国战略规划、流域规划、区域规划，考查年份：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A835612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5B89C0F0" w14:textId="77777777" w:rsidR="00D74127" w:rsidRDefault="004057F1">
      <w:pPr>
        <w:spacing w:before="380" w:after="140" w:line="288" w:lineRule="auto"/>
        <w:jc w:val="left"/>
        <w:outlineLvl w:val="0"/>
      </w:pPr>
      <w:bookmarkStart w:id="4" w:name="heading_4"/>
      <w:r>
        <w:rPr>
          <w:rFonts w:ascii="Arial" w:eastAsia="等线" w:hAnsi="Arial" w:cs="Arial"/>
          <w:b/>
          <w:sz w:val="36"/>
        </w:rPr>
        <w:t>三、水利水电工程材料（选择高频）</w:t>
      </w:r>
      <w:bookmarkEnd w:id="4"/>
    </w:p>
    <w:p w14:paraId="4EBB8D34" w14:textId="77777777" w:rsidR="00D74127" w:rsidRDefault="004057F1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混凝土配合比相关</w:t>
      </w:r>
      <w:r>
        <w:rPr>
          <w:rFonts w:ascii="Arial" w:eastAsia="等线" w:hAnsi="Arial" w:cs="Arial"/>
          <w:sz w:val="22"/>
        </w:rPr>
        <w:t>：混凝土配合比核心参数（砂率、水胶比、浆骨比），不属于配合比的参数辨析，考查年份：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C24F1D0" w14:textId="77777777" w:rsidR="00D74127" w:rsidRDefault="004057F1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建筑材料性能</w:t>
      </w:r>
      <w:r>
        <w:rPr>
          <w:rFonts w:ascii="Arial" w:eastAsia="等线" w:hAnsi="Arial" w:cs="Arial"/>
          <w:sz w:val="22"/>
        </w:rPr>
        <w:t>：水泥、钢材、外加剂的核心性能指标；水利工程常用材料的适用场景，考查年份：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05D7DF3" w14:textId="77777777" w:rsidR="00D74127" w:rsidRDefault="004057F1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土工材料与防水材料</w:t>
      </w:r>
      <w:r>
        <w:rPr>
          <w:rFonts w:ascii="Arial" w:eastAsia="等线" w:hAnsi="Arial" w:cs="Arial"/>
          <w:sz w:val="22"/>
        </w:rPr>
        <w:t>：土工合成材料的分类及作用；水利工程防水、防渗材料的性能要求，考查年份：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DB58E66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59249E98" w14:textId="77777777" w:rsidR="00D74127" w:rsidRDefault="004057F1">
      <w:pPr>
        <w:spacing w:before="380" w:after="140" w:line="288" w:lineRule="auto"/>
        <w:jc w:val="left"/>
        <w:outlineLvl w:val="0"/>
      </w:pPr>
      <w:bookmarkStart w:id="5" w:name="heading_5"/>
      <w:r>
        <w:rPr>
          <w:rFonts w:ascii="Arial" w:eastAsia="等线" w:hAnsi="Arial" w:cs="Arial"/>
          <w:b/>
          <w:sz w:val="36"/>
        </w:rPr>
        <w:t>四、水利水电工程施工技术（选择高频）</w:t>
      </w:r>
      <w:bookmarkEnd w:id="5"/>
    </w:p>
    <w:p w14:paraId="6CE516A4" w14:textId="77777777" w:rsidR="00D74127" w:rsidRDefault="004057F1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施工导流与截流</w:t>
      </w:r>
      <w:r>
        <w:rPr>
          <w:rFonts w:ascii="Arial" w:eastAsia="等线" w:hAnsi="Arial" w:cs="Arial"/>
          <w:sz w:val="22"/>
        </w:rPr>
        <w:t>：导流方式选择、截流方法及适用</w:t>
      </w:r>
      <w:r>
        <w:rPr>
          <w:rFonts w:ascii="Arial" w:eastAsia="等线" w:hAnsi="Arial" w:cs="Arial"/>
          <w:sz w:val="22"/>
        </w:rPr>
        <w:t>条件；施工时段划分（工程筹建期、准备期、主体施工期、完建期）及总工期计算，考查年份：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BA28139" w14:textId="77777777" w:rsidR="00D74127" w:rsidRDefault="004057F1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地基与基础工程</w:t>
      </w:r>
      <w:r>
        <w:rPr>
          <w:rFonts w:ascii="Arial" w:eastAsia="等线" w:hAnsi="Arial" w:cs="Arial"/>
          <w:sz w:val="22"/>
        </w:rPr>
        <w:t>：地基处理方法（换填、强夯等）；基坑开挖边坡稳定措施，考查年份：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4443410" w14:textId="77777777" w:rsidR="00D74127" w:rsidRDefault="004057F1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土石坝与堤防施工</w:t>
      </w:r>
      <w:r>
        <w:rPr>
          <w:rFonts w:ascii="Arial" w:eastAsia="等线" w:hAnsi="Arial" w:cs="Arial"/>
          <w:sz w:val="22"/>
        </w:rPr>
        <w:t>：土石坝填筑工艺、压实标准；堤防构造及施工质量控制要点，考查年份：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78E00D0" w14:textId="77777777" w:rsidR="00D74127" w:rsidRDefault="004057F1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混凝土工程施工</w:t>
      </w:r>
      <w:r>
        <w:rPr>
          <w:rFonts w:ascii="Arial" w:eastAsia="等线" w:hAnsi="Arial" w:cs="Arial"/>
          <w:sz w:val="22"/>
        </w:rPr>
        <w:t>：大体积混凝土温控防裂措施；混凝土浇筑、养护要点，考查年份：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DC1EB7A" w14:textId="77777777" w:rsidR="00D74127" w:rsidRDefault="004057F1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疏浚工程</w:t>
      </w:r>
      <w:r>
        <w:rPr>
          <w:rFonts w:ascii="Arial" w:eastAsia="等线" w:hAnsi="Arial" w:cs="Arial"/>
          <w:sz w:val="22"/>
        </w:rPr>
        <w:t>：疏浚工程局部欠挖的返工判定条件，考查年份：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3737ED6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10D5B794" w14:textId="77777777" w:rsidR="00D74127" w:rsidRDefault="004057F1">
      <w:pPr>
        <w:spacing w:before="380" w:after="140" w:line="288" w:lineRule="auto"/>
        <w:jc w:val="left"/>
        <w:outlineLvl w:val="0"/>
      </w:pPr>
      <w:bookmarkStart w:id="6" w:name="heading_6"/>
      <w:r>
        <w:rPr>
          <w:rFonts w:ascii="Arial" w:eastAsia="等线" w:hAnsi="Arial" w:cs="Arial"/>
          <w:b/>
          <w:sz w:val="36"/>
        </w:rPr>
        <w:lastRenderedPageBreak/>
        <w:t>五、水利水电工程安全管理（选择高频）</w:t>
      </w:r>
      <w:bookmarkEnd w:id="6"/>
    </w:p>
    <w:p w14:paraId="71F06874" w14:textId="77777777" w:rsidR="00D74127" w:rsidRDefault="004057F1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安全生产标准化</w:t>
      </w:r>
      <w:r>
        <w:rPr>
          <w:rFonts w:ascii="Arial" w:eastAsia="等线" w:hAnsi="Arial" w:cs="Arial"/>
          <w:sz w:val="22"/>
        </w:rPr>
        <w:t>：水利生产经营单位记</w:t>
      </w:r>
      <w:r>
        <w:rPr>
          <w:rFonts w:ascii="Arial" w:eastAsia="等线" w:hAnsi="Arial" w:cs="Arial"/>
          <w:sz w:val="22"/>
        </w:rPr>
        <w:t>20</w:t>
      </w:r>
      <w:r>
        <w:rPr>
          <w:rFonts w:ascii="Arial" w:eastAsia="等线" w:hAnsi="Arial" w:cs="Arial"/>
          <w:sz w:val="22"/>
        </w:rPr>
        <w:t>分的情形（弄虚作假、迟报事故、较大安全事故负有责任等），考查年份：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EE4131E" w14:textId="77777777" w:rsidR="00D74127" w:rsidRDefault="004057F1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安全防护与起重作业</w:t>
      </w:r>
      <w:r>
        <w:rPr>
          <w:rFonts w:ascii="Arial" w:eastAsia="等线" w:hAnsi="Arial" w:cs="Arial"/>
          <w:sz w:val="22"/>
        </w:rPr>
        <w:t>：钢丝绳安全系数要求（特定场景不小于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）；起重吊装作业安全控制要点，考查年份：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EBE2BCE" w14:textId="77777777" w:rsidR="00D74127" w:rsidRDefault="004057F1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安全事故相关</w:t>
      </w:r>
      <w:r>
        <w:rPr>
          <w:rFonts w:ascii="Arial" w:eastAsia="等线" w:hAnsi="Arial" w:cs="Arial"/>
          <w:sz w:val="22"/>
        </w:rPr>
        <w:t>：安全事故等级划分、报告程序及内容；质量问题鉴定的类型，考查年份：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60A369BB" w14:textId="77777777" w:rsidR="00D74127" w:rsidRDefault="004057F1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勘测设计失误问责</w:t>
      </w:r>
      <w:r>
        <w:rPr>
          <w:rFonts w:ascii="Arial" w:eastAsia="等线" w:hAnsi="Arial" w:cs="Arial"/>
          <w:sz w:val="22"/>
        </w:rPr>
        <w:t>：水利工程勘测设计失误对责任单位的问责方式（责令整改、警示约谈、通报批评等），考查年份：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81C1A59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692BCC5A" w14:textId="77777777" w:rsidR="00D74127" w:rsidRDefault="004057F1">
      <w:pPr>
        <w:spacing w:before="380" w:after="140" w:line="288" w:lineRule="auto"/>
        <w:jc w:val="left"/>
        <w:outlineLvl w:val="0"/>
      </w:pPr>
      <w:bookmarkStart w:id="7" w:name="heading_7"/>
      <w:r>
        <w:rPr>
          <w:rFonts w:ascii="Arial" w:eastAsia="等线" w:hAnsi="Arial" w:cs="Arial"/>
          <w:b/>
          <w:sz w:val="36"/>
        </w:rPr>
        <w:t>六、水利水电工程合同与管理（选择高频）</w:t>
      </w:r>
      <w:bookmarkEnd w:id="7"/>
    </w:p>
    <w:p w14:paraId="504B9AFF" w14:textId="77777777" w:rsidR="00D74127" w:rsidRDefault="004057F1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合同管理文件</w:t>
      </w:r>
      <w:r>
        <w:rPr>
          <w:rFonts w:ascii="Arial" w:eastAsia="等线" w:hAnsi="Arial" w:cs="Arial"/>
          <w:sz w:val="22"/>
        </w:rPr>
        <w:t>：水利水电工程注册建造师施工管理签章文件分类，合同管理文件的具体类型（变更申请表、施工</w:t>
      </w:r>
      <w:r>
        <w:rPr>
          <w:rFonts w:ascii="Arial" w:eastAsia="等线" w:hAnsi="Arial" w:cs="Arial"/>
          <w:sz w:val="22"/>
        </w:rPr>
        <w:t>月报等），考查年份：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F85FD9A" w14:textId="77777777" w:rsidR="00D74127" w:rsidRDefault="004057F1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招标投标相关</w:t>
      </w:r>
      <w:r>
        <w:rPr>
          <w:rFonts w:ascii="Arial" w:eastAsia="等线" w:hAnsi="Arial" w:cs="Arial"/>
          <w:sz w:val="22"/>
        </w:rPr>
        <w:t>：招标人采用未中标人技术方案的补偿时间要求（签订合同后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个工作日内），考查年份：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25EFC66" w14:textId="77777777" w:rsidR="00D74127" w:rsidRDefault="004057F1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工程验收与质量控制</w:t>
      </w:r>
      <w:r>
        <w:rPr>
          <w:rFonts w:ascii="Arial" w:eastAsia="等线" w:hAnsi="Arial" w:cs="Arial"/>
          <w:sz w:val="22"/>
        </w:rPr>
        <w:t>：水利工程验收层次及要求；质量缺陷处理相关规定，考查年份：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105ADD9" w14:textId="77777777" w:rsidR="00D74127" w:rsidRDefault="00D74127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71EB1AAC" w14:textId="77777777" w:rsidR="00D74127" w:rsidRDefault="004057F1">
      <w:pPr>
        <w:spacing w:before="380" w:after="140" w:line="288" w:lineRule="auto"/>
        <w:jc w:val="left"/>
        <w:outlineLvl w:val="0"/>
      </w:pPr>
      <w:bookmarkStart w:id="8" w:name="heading_8"/>
      <w:r>
        <w:rPr>
          <w:rFonts w:ascii="Arial" w:eastAsia="等线" w:hAnsi="Arial" w:cs="Arial"/>
          <w:b/>
          <w:sz w:val="36"/>
        </w:rPr>
        <w:t>七、文件使用说明</w:t>
      </w:r>
      <w:bookmarkEnd w:id="8"/>
    </w:p>
    <w:p w14:paraId="636B2534" w14:textId="77777777" w:rsidR="00D74127" w:rsidRDefault="004057F1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本文件为</w:t>
      </w:r>
      <w:r>
        <w:rPr>
          <w:rFonts w:ascii="Arial" w:eastAsia="等线" w:hAnsi="Arial" w:cs="Arial"/>
          <w:b/>
          <w:sz w:val="22"/>
        </w:rPr>
        <w:t>水利水电工程选择题专用</w:t>
      </w:r>
      <w:r>
        <w:rPr>
          <w:rFonts w:ascii="Arial" w:eastAsia="等线" w:hAnsi="Arial" w:cs="Arial"/>
          <w:sz w:val="22"/>
        </w:rPr>
        <w:t>，适配一建、二建备考，适合考前突击背诵、查漏补缺；</w:t>
      </w:r>
    </w:p>
    <w:p w14:paraId="207F2B50" w14:textId="77777777" w:rsidR="00D74127" w:rsidRDefault="004057F1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标注</w:t>
      </w:r>
      <w:r>
        <w:rPr>
          <w:rFonts w:ascii="Arial" w:eastAsia="等线" w:hAnsi="Arial" w:cs="Arial"/>
          <w:b/>
          <w:sz w:val="22"/>
        </w:rPr>
        <w:t>2021—2025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b/>
          <w:sz w:val="22"/>
        </w:rPr>
        <w:t>超高频必考点</w:t>
      </w:r>
      <w:r>
        <w:rPr>
          <w:rFonts w:ascii="Arial" w:eastAsia="等线" w:hAnsi="Arial" w:cs="Arial"/>
          <w:sz w:val="22"/>
        </w:rPr>
        <w:t>，几乎每年都考，优先背诵记忆；</w:t>
      </w:r>
    </w:p>
    <w:p w14:paraId="49AD535C" w14:textId="77777777" w:rsidR="00D74127" w:rsidRDefault="004057F1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选择题答题技巧：</w:t>
      </w:r>
      <w:r>
        <w:rPr>
          <w:rFonts w:ascii="Arial" w:eastAsia="等线" w:hAnsi="Arial" w:cs="Arial"/>
          <w:b/>
          <w:sz w:val="22"/>
        </w:rPr>
        <w:t>抓关键词、区分易混概念、牢记数字类考点</w:t>
      </w:r>
      <w:r>
        <w:rPr>
          <w:rFonts w:ascii="Arial" w:eastAsia="等线" w:hAnsi="Arial" w:cs="Arial"/>
          <w:sz w:val="22"/>
        </w:rPr>
        <w:t>，规避命题陷阱；</w:t>
      </w:r>
    </w:p>
    <w:p w14:paraId="1963CC36" w14:textId="77777777" w:rsidR="00D74127" w:rsidRDefault="004057F1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可直接复制到</w:t>
      </w:r>
      <w:r>
        <w:rPr>
          <w:rFonts w:ascii="Arial" w:eastAsia="等线" w:hAnsi="Arial" w:cs="Arial"/>
          <w:sz w:val="22"/>
        </w:rPr>
        <w:t>Word</w:t>
      </w:r>
      <w:r>
        <w:rPr>
          <w:rFonts w:ascii="Arial" w:eastAsia="等线" w:hAnsi="Arial" w:cs="Arial"/>
          <w:sz w:val="22"/>
        </w:rPr>
        <w:t>，调整字号、排版后即可打印，适配纸质背诵需求。</w:t>
      </w:r>
    </w:p>
    <w:sectPr w:rsidR="00D74127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D981B" w14:textId="77777777" w:rsidR="004057F1" w:rsidRDefault="004057F1">
      <w:r>
        <w:separator/>
      </w:r>
    </w:p>
  </w:endnote>
  <w:endnote w:type="continuationSeparator" w:id="0">
    <w:p w14:paraId="288C805A" w14:textId="77777777" w:rsidR="004057F1" w:rsidRDefault="0040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06A6" w14:textId="77777777" w:rsidR="004057F1" w:rsidRDefault="004057F1">
      <w:r>
        <w:separator/>
      </w:r>
    </w:p>
  </w:footnote>
  <w:footnote w:type="continuationSeparator" w:id="0">
    <w:p w14:paraId="6D7EC521" w14:textId="77777777" w:rsidR="004057F1" w:rsidRDefault="0040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8A1"/>
    <w:multiLevelType w:val="multilevel"/>
    <w:tmpl w:val="0964C3D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14391"/>
    <w:multiLevelType w:val="multilevel"/>
    <w:tmpl w:val="B6CAE5F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F3B59"/>
    <w:multiLevelType w:val="multilevel"/>
    <w:tmpl w:val="23CCA86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C60B1A"/>
    <w:multiLevelType w:val="multilevel"/>
    <w:tmpl w:val="20EAFCA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7F2FF9"/>
    <w:multiLevelType w:val="multilevel"/>
    <w:tmpl w:val="3E60699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FF570A"/>
    <w:multiLevelType w:val="multilevel"/>
    <w:tmpl w:val="AFEA235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A1194"/>
    <w:multiLevelType w:val="multilevel"/>
    <w:tmpl w:val="112AF58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E1194E"/>
    <w:multiLevelType w:val="multilevel"/>
    <w:tmpl w:val="E17870C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A0427B"/>
    <w:multiLevelType w:val="multilevel"/>
    <w:tmpl w:val="5EF44D2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056227"/>
    <w:multiLevelType w:val="multilevel"/>
    <w:tmpl w:val="9BACA2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B0D11"/>
    <w:multiLevelType w:val="multilevel"/>
    <w:tmpl w:val="F0EAD14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5753A4"/>
    <w:multiLevelType w:val="multilevel"/>
    <w:tmpl w:val="F89884B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E632B5"/>
    <w:multiLevelType w:val="multilevel"/>
    <w:tmpl w:val="08BED59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52283D"/>
    <w:multiLevelType w:val="multilevel"/>
    <w:tmpl w:val="E40E690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A50A6"/>
    <w:multiLevelType w:val="multilevel"/>
    <w:tmpl w:val="639024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B771F1"/>
    <w:multiLevelType w:val="multilevel"/>
    <w:tmpl w:val="F38623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94A35"/>
    <w:multiLevelType w:val="multilevel"/>
    <w:tmpl w:val="2426207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A0615A"/>
    <w:multiLevelType w:val="multilevel"/>
    <w:tmpl w:val="19ECD0C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772203"/>
    <w:multiLevelType w:val="multilevel"/>
    <w:tmpl w:val="F5E6FF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56086D"/>
    <w:multiLevelType w:val="multilevel"/>
    <w:tmpl w:val="F51A85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C463B2"/>
    <w:multiLevelType w:val="multilevel"/>
    <w:tmpl w:val="CB34451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837F43"/>
    <w:multiLevelType w:val="multilevel"/>
    <w:tmpl w:val="F030133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B6499"/>
    <w:multiLevelType w:val="multilevel"/>
    <w:tmpl w:val="FF24D12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C61F89"/>
    <w:multiLevelType w:val="multilevel"/>
    <w:tmpl w:val="233659D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03791B"/>
    <w:multiLevelType w:val="multilevel"/>
    <w:tmpl w:val="C9205B5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4271E5"/>
    <w:multiLevelType w:val="multilevel"/>
    <w:tmpl w:val="53AAF30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E36C61"/>
    <w:multiLevelType w:val="multilevel"/>
    <w:tmpl w:val="20D28B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6"/>
  </w:num>
  <w:num w:numId="3">
    <w:abstractNumId w:val="0"/>
  </w:num>
  <w:num w:numId="4">
    <w:abstractNumId w:val="14"/>
  </w:num>
  <w:num w:numId="5">
    <w:abstractNumId w:val="1"/>
  </w:num>
  <w:num w:numId="6">
    <w:abstractNumId w:val="22"/>
  </w:num>
  <w:num w:numId="7">
    <w:abstractNumId w:val="11"/>
  </w:num>
  <w:num w:numId="8">
    <w:abstractNumId w:val="21"/>
  </w:num>
  <w:num w:numId="9">
    <w:abstractNumId w:val="8"/>
  </w:num>
  <w:num w:numId="10">
    <w:abstractNumId w:val="18"/>
  </w:num>
  <w:num w:numId="11">
    <w:abstractNumId w:val="24"/>
  </w:num>
  <w:num w:numId="12">
    <w:abstractNumId w:val="9"/>
  </w:num>
  <w:num w:numId="13">
    <w:abstractNumId w:val="17"/>
  </w:num>
  <w:num w:numId="14">
    <w:abstractNumId w:val="23"/>
  </w:num>
  <w:num w:numId="15">
    <w:abstractNumId w:val="15"/>
  </w:num>
  <w:num w:numId="16">
    <w:abstractNumId w:val="20"/>
  </w:num>
  <w:num w:numId="17">
    <w:abstractNumId w:val="7"/>
  </w:num>
  <w:num w:numId="18">
    <w:abstractNumId w:val="5"/>
  </w:num>
  <w:num w:numId="19">
    <w:abstractNumId w:val="6"/>
  </w:num>
  <w:num w:numId="20">
    <w:abstractNumId w:val="2"/>
  </w:num>
  <w:num w:numId="21">
    <w:abstractNumId w:val="25"/>
  </w:num>
  <w:num w:numId="22">
    <w:abstractNumId w:val="3"/>
  </w:num>
  <w:num w:numId="23">
    <w:abstractNumId w:val="13"/>
  </w:num>
  <w:num w:numId="24">
    <w:abstractNumId w:val="19"/>
  </w:num>
  <w:num w:numId="25">
    <w:abstractNumId w:val="10"/>
  </w:num>
  <w:num w:numId="26">
    <w:abstractNumId w:val="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127"/>
    <w:rsid w:val="004057F1"/>
    <w:rsid w:val="005835E1"/>
    <w:rsid w:val="00D7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3C0EB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35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3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3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2026-04-20T03:19:00Z</dcterms:created>
  <dcterms:modified xsi:type="dcterms:W3CDTF">2026-04-20T03:22:00Z</dcterms:modified>
</cp:coreProperties>
</file>