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15079" w14:textId="77777777" w:rsidR="00C1155A" w:rsidRDefault="0003302E" w:rsidP="00B13233">
      <w:pPr>
        <w:spacing w:before="480" w:after="480" w:line="288" w:lineRule="auto"/>
        <w:jc w:val="center"/>
      </w:pPr>
      <w:r>
        <w:rPr>
          <w:rFonts w:ascii="Arial" w:eastAsia="等线" w:hAnsi="Arial" w:cs="Arial"/>
          <w:b/>
          <w:sz w:val="52"/>
        </w:rPr>
        <w:t xml:space="preserve">2021 - 2025 </w:t>
      </w:r>
      <w:r>
        <w:rPr>
          <w:rFonts w:ascii="Arial" w:eastAsia="等线" w:hAnsi="Arial" w:cs="Arial"/>
          <w:b/>
          <w:sz w:val="52"/>
        </w:rPr>
        <w:t>水利工程注册建造师考试简答题高频考点汇总</w:t>
      </w:r>
    </w:p>
    <w:p w14:paraId="2DB91BC2" w14:textId="77777777" w:rsidR="00C1155A" w:rsidRDefault="0003302E">
      <w:pPr>
        <w:spacing w:before="380" w:after="140" w:line="288" w:lineRule="auto"/>
        <w:jc w:val="left"/>
        <w:outlineLvl w:val="0"/>
      </w:pPr>
      <w:bookmarkStart w:id="0" w:name="heading_0"/>
      <w:r>
        <w:rPr>
          <w:rFonts w:ascii="Arial" w:eastAsia="等线" w:hAnsi="Arial" w:cs="Arial"/>
          <w:b/>
          <w:sz w:val="36"/>
        </w:rPr>
        <w:t>近五年（</w:t>
      </w:r>
      <w:r>
        <w:rPr>
          <w:rFonts w:ascii="Arial" w:eastAsia="等线" w:hAnsi="Arial" w:cs="Arial"/>
          <w:b/>
          <w:sz w:val="36"/>
        </w:rPr>
        <w:t>2021—2025</w:t>
      </w:r>
      <w:r>
        <w:rPr>
          <w:rFonts w:ascii="Arial" w:eastAsia="等线" w:hAnsi="Arial" w:cs="Arial"/>
          <w:b/>
          <w:sz w:val="36"/>
        </w:rPr>
        <w:t>）水利工程注册建造师考试</w:t>
      </w:r>
      <w:bookmarkEnd w:id="0"/>
    </w:p>
    <w:p w14:paraId="316AA73C" w14:textId="77777777" w:rsidR="00C1155A" w:rsidRDefault="0003302E">
      <w:pPr>
        <w:spacing w:before="380" w:after="140" w:line="288" w:lineRule="auto"/>
        <w:jc w:val="left"/>
        <w:outlineLvl w:val="0"/>
      </w:pPr>
      <w:bookmarkStart w:id="1" w:name="heading_1"/>
      <w:r>
        <w:rPr>
          <w:rFonts w:ascii="Arial" w:eastAsia="等线" w:hAnsi="Arial" w:cs="Arial"/>
          <w:b/>
          <w:sz w:val="36"/>
        </w:rPr>
        <w:t>简答题高频考点汇总（文件版・可直接复制打印）</w:t>
      </w:r>
      <w:bookmarkEnd w:id="1"/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0"/>
      </w:tblGrid>
      <w:tr w:rsidR="00C1155A" w14:paraId="53A491C6" w14:textId="77777777">
        <w:tblPrEx>
          <w:tblCellMar>
            <w:top w:w="0" w:type="dxa"/>
            <w:bottom w:w="0" w:type="dxa"/>
          </w:tblCellMar>
        </w:tblPrEx>
        <w:tc>
          <w:tcPr>
            <w:tcW w:w="8280" w:type="dxa"/>
            <w:tcBorders>
              <w:top w:val="nil"/>
              <w:left w:val="single" w:sz="18" w:space="0" w:color="BBBFC4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9E86C1" w14:textId="77777777" w:rsidR="00C1155A" w:rsidRDefault="0003302E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color w:val="646A73"/>
                <w:sz w:val="22"/>
              </w:rPr>
              <w:t>适用：一建</w:t>
            </w:r>
            <w:r>
              <w:rPr>
                <w:rFonts w:ascii="Arial" w:eastAsia="等线" w:hAnsi="Arial" w:cs="Arial"/>
                <w:color w:val="646A73"/>
                <w:sz w:val="22"/>
              </w:rPr>
              <w:t xml:space="preserve"> / </w:t>
            </w:r>
            <w:r>
              <w:rPr>
                <w:rFonts w:ascii="Arial" w:eastAsia="等线" w:hAnsi="Arial" w:cs="Arial"/>
                <w:color w:val="646A73"/>
                <w:sz w:val="22"/>
              </w:rPr>
              <w:t>二建水利水电实务简答、案例问答</w:t>
            </w:r>
            <w:r>
              <w:rPr>
                <w:rFonts w:ascii="Arial" w:eastAsia="等线" w:hAnsi="Arial" w:cs="Arial"/>
                <w:color w:val="646A73"/>
                <w:sz w:val="22"/>
              </w:rPr>
              <w:br/>
            </w:r>
            <w:r>
              <w:rPr>
                <w:rFonts w:ascii="Arial" w:eastAsia="等线" w:hAnsi="Arial" w:cs="Arial"/>
                <w:color w:val="646A73"/>
                <w:sz w:val="22"/>
              </w:rPr>
              <w:t>标注：</w:t>
            </w:r>
            <w:r>
              <w:rPr>
                <w:rFonts w:ascii="Arial" w:eastAsia="等线" w:hAnsi="Arial" w:cs="Arial"/>
                <w:color w:val="646A73"/>
                <w:sz w:val="22"/>
              </w:rPr>
              <w:t xml:space="preserve">2021—2025 </w:t>
            </w:r>
            <w:r>
              <w:rPr>
                <w:rFonts w:ascii="Arial" w:eastAsia="等线" w:hAnsi="Arial" w:cs="Arial"/>
                <w:color w:val="646A73"/>
                <w:sz w:val="22"/>
              </w:rPr>
              <w:t>为连续高频；单独年份为当年真题考过</w:t>
            </w:r>
          </w:p>
        </w:tc>
      </w:tr>
    </w:tbl>
    <w:p w14:paraId="6B7935D7" w14:textId="77777777" w:rsidR="00C1155A" w:rsidRDefault="00C1155A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14:paraId="24135BF0" w14:textId="77777777" w:rsidR="00C1155A" w:rsidRDefault="0003302E">
      <w:pPr>
        <w:spacing w:before="320" w:after="120" w:line="288" w:lineRule="auto"/>
        <w:jc w:val="left"/>
        <w:outlineLvl w:val="1"/>
      </w:pPr>
      <w:bookmarkStart w:id="2" w:name="heading_2"/>
      <w:r>
        <w:rPr>
          <w:rFonts w:ascii="Arial" w:eastAsia="等线" w:hAnsi="Arial" w:cs="Arial"/>
          <w:b/>
          <w:sz w:val="32"/>
        </w:rPr>
        <w:t>一、施工导流与截流（高频简答）</w:t>
      </w:r>
      <w:bookmarkEnd w:id="2"/>
    </w:p>
    <w:p w14:paraId="15BAD025" w14:textId="77777777" w:rsidR="00C1155A" w:rsidRDefault="0003302E">
      <w:pPr>
        <w:numPr>
          <w:ilvl w:val="0"/>
          <w:numId w:val="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施工导流方式及适用条件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3ACFD9A2" w14:textId="77777777" w:rsidR="00C1155A" w:rsidRDefault="0003302E">
      <w:pPr>
        <w:numPr>
          <w:ilvl w:val="0"/>
          <w:numId w:val="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截流方式（平堵、立堵）优缺点及适用范围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52DCEC8C" w14:textId="77777777" w:rsidR="00C1155A" w:rsidRDefault="0003302E">
      <w:pPr>
        <w:numPr>
          <w:ilvl w:val="0"/>
          <w:numId w:val="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减少截流难度的技术措施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006BA8C1" w14:textId="77777777" w:rsidR="00C1155A" w:rsidRDefault="0003302E">
      <w:pPr>
        <w:numPr>
          <w:ilvl w:val="0"/>
          <w:numId w:val="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基坑降排水目的及管井井点适用条件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3D35AB30" w14:textId="77777777" w:rsidR="00C1155A" w:rsidRDefault="00C1155A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14:paraId="4EF51752" w14:textId="77777777" w:rsidR="00C1155A" w:rsidRDefault="0003302E">
      <w:pPr>
        <w:spacing w:before="320" w:after="120" w:line="288" w:lineRule="auto"/>
        <w:jc w:val="left"/>
        <w:outlineLvl w:val="1"/>
      </w:pPr>
      <w:bookmarkStart w:id="3" w:name="heading_3"/>
      <w:r>
        <w:rPr>
          <w:rFonts w:ascii="Arial" w:eastAsia="等线" w:hAnsi="Arial" w:cs="Arial"/>
          <w:b/>
          <w:sz w:val="32"/>
        </w:rPr>
        <w:t>二、地基处理与基础工程</w:t>
      </w:r>
      <w:bookmarkEnd w:id="3"/>
    </w:p>
    <w:p w14:paraId="2B8C83A6" w14:textId="77777777" w:rsidR="00C1155A" w:rsidRDefault="0003302E">
      <w:pPr>
        <w:numPr>
          <w:ilvl w:val="0"/>
          <w:numId w:val="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水利工程常用地基处理方法及适用场景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48A34F7F" w14:textId="77777777" w:rsidR="00C1155A" w:rsidRDefault="0003302E">
      <w:pPr>
        <w:numPr>
          <w:ilvl w:val="0"/>
          <w:numId w:val="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帷幕灌浆、固结灌浆的施工顺序与作用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2021—2025</w:t>
      </w:r>
    </w:p>
    <w:p w14:paraId="3C2D8CF5" w14:textId="77777777" w:rsidR="00C1155A" w:rsidRDefault="0003302E">
      <w:pPr>
        <w:numPr>
          <w:ilvl w:val="0"/>
          <w:numId w:val="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灌浆施工质量控制要点（压力、浆液、段长）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3A857A55" w14:textId="77777777" w:rsidR="00C1155A" w:rsidRDefault="0003302E">
      <w:pPr>
        <w:numPr>
          <w:ilvl w:val="0"/>
          <w:numId w:val="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基坑开挖边坡失稳原因及防治措施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2DB2D4DD" w14:textId="77777777" w:rsidR="00C1155A" w:rsidRDefault="00C1155A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14:paraId="409CEECA" w14:textId="77777777" w:rsidR="00C1155A" w:rsidRDefault="0003302E">
      <w:pPr>
        <w:spacing w:before="320" w:after="120" w:line="288" w:lineRule="auto"/>
        <w:jc w:val="left"/>
        <w:outlineLvl w:val="1"/>
      </w:pPr>
      <w:bookmarkStart w:id="4" w:name="heading_4"/>
      <w:r>
        <w:rPr>
          <w:rFonts w:ascii="Arial" w:eastAsia="等线" w:hAnsi="Arial" w:cs="Arial"/>
          <w:b/>
          <w:sz w:val="32"/>
        </w:rPr>
        <w:t>三、土石坝与堤防工程</w:t>
      </w:r>
      <w:bookmarkEnd w:id="4"/>
    </w:p>
    <w:p w14:paraId="5F818051" w14:textId="77777777" w:rsidR="00C1155A" w:rsidRDefault="0003302E">
      <w:pPr>
        <w:numPr>
          <w:ilvl w:val="0"/>
          <w:numId w:val="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土石坝填筑压实质量控制指标（干密度、含水率、压实度）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2021—2025</w:t>
      </w:r>
    </w:p>
    <w:p w14:paraId="06248177" w14:textId="77777777" w:rsidR="00C1155A" w:rsidRDefault="0003302E">
      <w:pPr>
        <w:numPr>
          <w:ilvl w:val="0"/>
          <w:numId w:val="1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土石坝施工工艺（卸料、铺料、碾压、结合面处理）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41876422" w14:textId="77777777" w:rsidR="00C1155A" w:rsidRDefault="0003302E">
      <w:pPr>
        <w:numPr>
          <w:ilvl w:val="0"/>
          <w:numId w:val="1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堤防工程填筑施工要点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02194525" w14:textId="77777777" w:rsidR="00C1155A" w:rsidRDefault="0003302E">
      <w:pPr>
        <w:numPr>
          <w:ilvl w:val="0"/>
          <w:numId w:val="1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土石坝护坡、排水设施的作用与构造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1E7E5949" w14:textId="77777777" w:rsidR="00C1155A" w:rsidRDefault="00C1155A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14:paraId="70340BE0" w14:textId="77777777" w:rsidR="00C1155A" w:rsidRDefault="0003302E">
      <w:pPr>
        <w:spacing w:before="320" w:after="120" w:line="288" w:lineRule="auto"/>
        <w:jc w:val="left"/>
        <w:outlineLvl w:val="1"/>
      </w:pPr>
      <w:bookmarkStart w:id="5" w:name="heading_5"/>
      <w:r>
        <w:rPr>
          <w:rFonts w:ascii="Arial" w:eastAsia="等线" w:hAnsi="Arial" w:cs="Arial"/>
          <w:b/>
          <w:sz w:val="32"/>
        </w:rPr>
        <w:t>四、混凝土坝与大体积混凝土</w:t>
      </w:r>
      <w:bookmarkEnd w:id="5"/>
    </w:p>
    <w:p w14:paraId="17B896B9" w14:textId="77777777" w:rsidR="00C1155A" w:rsidRDefault="0003302E">
      <w:pPr>
        <w:numPr>
          <w:ilvl w:val="0"/>
          <w:numId w:val="1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大体积混凝土温控防裂措施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2021—2025</w:t>
      </w:r>
    </w:p>
    <w:p w14:paraId="1F7B04E9" w14:textId="77777777" w:rsidR="00C1155A" w:rsidRDefault="0003302E">
      <w:pPr>
        <w:numPr>
          <w:ilvl w:val="0"/>
          <w:numId w:val="1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混凝土浇筑施工要点（入仓、振捣、养护、冷缝处理）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4D781FFB" w14:textId="77777777" w:rsidR="00C1155A" w:rsidRDefault="0003302E">
      <w:pPr>
        <w:numPr>
          <w:ilvl w:val="0"/>
          <w:numId w:val="1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混凝土裂缝分类及处理方法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024</w:t>
      </w:r>
    </w:p>
    <w:p w14:paraId="146FC903" w14:textId="77777777" w:rsidR="00C1155A" w:rsidRDefault="0003302E">
      <w:pPr>
        <w:numPr>
          <w:ilvl w:val="0"/>
          <w:numId w:val="1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模板、钢筋、预埋件质量控制要点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1F7F2FFD" w14:textId="77777777" w:rsidR="00C1155A" w:rsidRDefault="00C1155A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14:paraId="6D60C3B7" w14:textId="77777777" w:rsidR="00C1155A" w:rsidRDefault="0003302E">
      <w:pPr>
        <w:spacing w:before="320" w:after="120" w:line="288" w:lineRule="auto"/>
        <w:jc w:val="left"/>
        <w:outlineLvl w:val="1"/>
      </w:pPr>
      <w:bookmarkStart w:id="6" w:name="heading_6"/>
      <w:r>
        <w:rPr>
          <w:rFonts w:ascii="Arial" w:eastAsia="等线" w:hAnsi="Arial" w:cs="Arial"/>
          <w:b/>
          <w:sz w:val="32"/>
        </w:rPr>
        <w:t>五、水闸、泵站与水电站</w:t>
      </w:r>
      <w:bookmarkEnd w:id="6"/>
    </w:p>
    <w:p w14:paraId="34413646" w14:textId="77777777" w:rsidR="00C1155A" w:rsidRDefault="0003302E">
      <w:pPr>
        <w:numPr>
          <w:ilvl w:val="0"/>
          <w:numId w:val="1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水闸施工要点（防渗、消能防冲、沉降缝处理）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44CBD965" w14:textId="77777777" w:rsidR="00C1155A" w:rsidRDefault="0003302E">
      <w:pPr>
        <w:numPr>
          <w:ilvl w:val="0"/>
          <w:numId w:val="1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泵站进出水建筑物及安装控制要点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5B5FD9D9" w14:textId="77777777" w:rsidR="00C1155A" w:rsidRDefault="0003302E">
      <w:pPr>
        <w:numPr>
          <w:ilvl w:val="0"/>
          <w:numId w:val="1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水电站压力管道、厂房施工质量控制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073531BA" w14:textId="77777777" w:rsidR="00C1155A" w:rsidRDefault="00C1155A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14:paraId="1EC16285" w14:textId="77777777" w:rsidR="00C1155A" w:rsidRDefault="0003302E">
      <w:pPr>
        <w:spacing w:before="320" w:after="120" w:line="288" w:lineRule="auto"/>
        <w:jc w:val="left"/>
        <w:outlineLvl w:val="1"/>
      </w:pPr>
      <w:bookmarkStart w:id="7" w:name="heading_7"/>
      <w:r>
        <w:rPr>
          <w:rFonts w:ascii="Arial" w:eastAsia="等线" w:hAnsi="Arial" w:cs="Arial"/>
          <w:b/>
          <w:sz w:val="32"/>
        </w:rPr>
        <w:t>六、河道疏浚与整治</w:t>
      </w:r>
      <w:bookmarkEnd w:id="7"/>
    </w:p>
    <w:p w14:paraId="7BED59C3" w14:textId="77777777" w:rsidR="00C1155A" w:rsidRDefault="0003302E">
      <w:pPr>
        <w:numPr>
          <w:ilvl w:val="0"/>
          <w:numId w:val="2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疏浚工程施工质量控制要点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5B9978B0" w14:textId="77777777" w:rsidR="00C1155A" w:rsidRDefault="0003302E">
      <w:pPr>
        <w:numPr>
          <w:ilvl w:val="0"/>
          <w:numId w:val="2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河道整治建筑物（丁坝、顺坝、格坝）作用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29B7D2AD" w14:textId="77777777" w:rsidR="00C1155A" w:rsidRDefault="00C1155A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14:paraId="0C1A0F6B" w14:textId="77777777" w:rsidR="00C1155A" w:rsidRDefault="0003302E">
      <w:pPr>
        <w:spacing w:before="320" w:after="120" w:line="288" w:lineRule="auto"/>
        <w:jc w:val="left"/>
        <w:outlineLvl w:val="1"/>
      </w:pPr>
      <w:bookmarkStart w:id="8" w:name="heading_8"/>
      <w:r>
        <w:rPr>
          <w:rFonts w:ascii="Arial" w:eastAsia="等线" w:hAnsi="Arial" w:cs="Arial"/>
          <w:b/>
          <w:sz w:val="32"/>
        </w:rPr>
        <w:t>七、水利工程安全与文明施工</w:t>
      </w:r>
      <w:bookmarkEnd w:id="8"/>
    </w:p>
    <w:p w14:paraId="5ECE23CE" w14:textId="77777777" w:rsidR="00C1155A" w:rsidRDefault="0003302E">
      <w:pPr>
        <w:numPr>
          <w:ilvl w:val="0"/>
          <w:numId w:val="2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水利工程重大危险源辨识与控制措施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25408EEC" w14:textId="77777777" w:rsidR="00C1155A" w:rsidRDefault="0003302E">
      <w:pPr>
        <w:numPr>
          <w:ilvl w:val="0"/>
          <w:numId w:val="2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深基坑、高边坡、脚手架安全控制要点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38B7BB97" w14:textId="77777777" w:rsidR="00C1155A" w:rsidRDefault="0003302E">
      <w:pPr>
        <w:numPr>
          <w:ilvl w:val="0"/>
          <w:numId w:val="2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起重作业、爆破作业安全管理要求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7BA4711C" w14:textId="77777777" w:rsidR="00C1155A" w:rsidRDefault="0003302E">
      <w:pPr>
        <w:numPr>
          <w:ilvl w:val="0"/>
          <w:numId w:val="2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安全事故报告程序与内容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2021—2025</w:t>
      </w:r>
    </w:p>
    <w:p w14:paraId="6E943688" w14:textId="77777777" w:rsidR="00C1155A" w:rsidRDefault="00C1155A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14:paraId="46FCE6E2" w14:textId="77777777" w:rsidR="00C1155A" w:rsidRDefault="0003302E">
      <w:pPr>
        <w:spacing w:before="320" w:after="120" w:line="288" w:lineRule="auto"/>
        <w:jc w:val="left"/>
        <w:outlineLvl w:val="1"/>
      </w:pPr>
      <w:bookmarkStart w:id="9" w:name="heading_9"/>
      <w:r>
        <w:rPr>
          <w:rFonts w:ascii="Arial" w:eastAsia="等线" w:hAnsi="Arial" w:cs="Arial"/>
          <w:b/>
          <w:sz w:val="32"/>
        </w:rPr>
        <w:t>八、质量、验收与评定</w:t>
      </w:r>
      <w:bookmarkEnd w:id="9"/>
    </w:p>
    <w:p w14:paraId="6F324018" w14:textId="77777777" w:rsidR="00C1155A" w:rsidRDefault="0003302E">
      <w:pPr>
        <w:numPr>
          <w:ilvl w:val="0"/>
          <w:numId w:val="2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水利工程项目划分（单位、分部、单元工程）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2021—2025</w:t>
      </w:r>
    </w:p>
    <w:p w14:paraId="75D1CA4F" w14:textId="77777777" w:rsidR="00C1155A" w:rsidRDefault="0003302E">
      <w:pPr>
        <w:numPr>
          <w:ilvl w:val="0"/>
          <w:numId w:val="2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水利工程质量事故分类与处理程序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0C4B20A1" w14:textId="77777777" w:rsidR="00C1155A" w:rsidRDefault="0003302E">
      <w:pPr>
        <w:numPr>
          <w:ilvl w:val="0"/>
          <w:numId w:val="2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分部工程、单位工程验收条件与程序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392F7191" w14:textId="77777777" w:rsidR="00C1155A" w:rsidRDefault="0003302E">
      <w:pPr>
        <w:numPr>
          <w:ilvl w:val="0"/>
          <w:numId w:val="2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竣工验收应具备的条件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6C24A08A" w14:textId="77777777" w:rsidR="00C1155A" w:rsidRDefault="00C1155A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14:paraId="542FB84E" w14:textId="77777777" w:rsidR="00C1155A" w:rsidRDefault="0003302E">
      <w:pPr>
        <w:spacing w:before="320" w:after="120" w:line="288" w:lineRule="auto"/>
        <w:jc w:val="left"/>
        <w:outlineLvl w:val="1"/>
      </w:pPr>
      <w:bookmarkStart w:id="10" w:name="heading_10"/>
      <w:r>
        <w:rPr>
          <w:rFonts w:ascii="Arial" w:eastAsia="等线" w:hAnsi="Arial" w:cs="Arial"/>
          <w:b/>
          <w:sz w:val="32"/>
        </w:rPr>
        <w:t>九、合同、招投标与造价</w:t>
      </w:r>
      <w:bookmarkEnd w:id="10"/>
    </w:p>
    <w:p w14:paraId="45BE7103" w14:textId="77777777" w:rsidR="00C1155A" w:rsidRDefault="0003302E">
      <w:pPr>
        <w:numPr>
          <w:ilvl w:val="0"/>
          <w:numId w:val="3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工程变更处理程序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lastRenderedPageBreak/>
        <w:t>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3602506A" w14:textId="77777777" w:rsidR="00C1155A" w:rsidRDefault="0003302E">
      <w:pPr>
        <w:numPr>
          <w:ilvl w:val="0"/>
          <w:numId w:val="3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索赔成立条件及索赔程序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2021—2025</w:t>
      </w:r>
    </w:p>
    <w:p w14:paraId="11D3C18F" w14:textId="77777777" w:rsidR="00C1155A" w:rsidRDefault="0003302E">
      <w:pPr>
        <w:numPr>
          <w:ilvl w:val="0"/>
          <w:numId w:val="3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工程量清单计价与综合单价组成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03B556A1" w14:textId="77777777" w:rsidR="00C1155A" w:rsidRDefault="0003302E">
      <w:pPr>
        <w:numPr>
          <w:ilvl w:val="0"/>
          <w:numId w:val="3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违法分包、转包认定情形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5EC9237F" w14:textId="77777777" w:rsidR="00C1155A" w:rsidRDefault="00C1155A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14:paraId="6563A423" w14:textId="77777777" w:rsidR="00C1155A" w:rsidRDefault="0003302E">
      <w:pPr>
        <w:spacing w:before="320" w:after="120" w:line="288" w:lineRule="auto"/>
        <w:jc w:val="left"/>
        <w:outlineLvl w:val="1"/>
      </w:pPr>
      <w:bookmarkStart w:id="11" w:name="heading_11"/>
      <w:r>
        <w:rPr>
          <w:rFonts w:ascii="Arial" w:eastAsia="等线" w:hAnsi="Arial" w:cs="Arial"/>
          <w:b/>
          <w:sz w:val="32"/>
        </w:rPr>
        <w:t>十、法规与管理（简答常考）</w:t>
      </w:r>
      <w:bookmarkEnd w:id="11"/>
    </w:p>
    <w:p w14:paraId="3A9CCD39" w14:textId="77777777" w:rsidR="00C1155A" w:rsidRDefault="0003302E">
      <w:pPr>
        <w:numPr>
          <w:ilvl w:val="0"/>
          <w:numId w:val="3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施工许可证</w:t>
      </w:r>
      <w:r>
        <w:rPr>
          <w:rFonts w:ascii="Arial" w:eastAsia="等线" w:hAnsi="Arial" w:cs="Arial"/>
          <w:sz w:val="22"/>
        </w:rPr>
        <w:t xml:space="preserve"> / </w:t>
      </w:r>
      <w:r>
        <w:rPr>
          <w:rFonts w:ascii="Arial" w:eastAsia="等线" w:hAnsi="Arial" w:cs="Arial"/>
          <w:sz w:val="22"/>
        </w:rPr>
        <w:t>开工备案条件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2C79DCE0" w14:textId="77777777" w:rsidR="00C1155A" w:rsidRDefault="0003302E">
      <w:pPr>
        <w:numPr>
          <w:ilvl w:val="0"/>
          <w:numId w:val="3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安全生产责任制及三类人员职责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2023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2025</w:t>
      </w:r>
    </w:p>
    <w:p w14:paraId="5A1B36B2" w14:textId="77777777" w:rsidR="00C1155A" w:rsidRDefault="0003302E">
      <w:pPr>
        <w:numPr>
          <w:ilvl w:val="0"/>
          <w:numId w:val="3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水利工程质量终身责任制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2021—2025</w:t>
      </w:r>
    </w:p>
    <w:p w14:paraId="610E22C7" w14:textId="77777777" w:rsidR="00C1155A" w:rsidRDefault="0003302E">
      <w:pPr>
        <w:numPr>
          <w:ilvl w:val="0"/>
          <w:numId w:val="3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水土保持、环境保护基本要求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考查年份：</w:t>
      </w:r>
      <w:r>
        <w:rPr>
          <w:rFonts w:ascii="Arial" w:eastAsia="等线" w:hAnsi="Arial" w:cs="Arial"/>
          <w:sz w:val="22"/>
        </w:rPr>
        <w:t>2022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2024</w:t>
      </w:r>
    </w:p>
    <w:p w14:paraId="76591D82" w14:textId="77777777" w:rsidR="00C1155A" w:rsidRDefault="00C1155A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</w:pPr>
    </w:p>
    <w:p w14:paraId="53CDEFAC" w14:textId="77777777" w:rsidR="00C1155A" w:rsidRDefault="0003302E">
      <w:pPr>
        <w:spacing w:before="380" w:after="140" w:line="288" w:lineRule="auto"/>
        <w:jc w:val="left"/>
        <w:outlineLvl w:val="0"/>
      </w:pPr>
      <w:bookmarkStart w:id="12" w:name="heading_12"/>
      <w:r>
        <w:rPr>
          <w:rFonts w:ascii="Arial" w:eastAsia="等线" w:hAnsi="Arial" w:cs="Arial"/>
          <w:b/>
          <w:sz w:val="36"/>
        </w:rPr>
        <w:t>使用说明</w:t>
      </w:r>
      <w:bookmarkEnd w:id="12"/>
    </w:p>
    <w:p w14:paraId="1E70859C" w14:textId="77777777" w:rsidR="00C1155A" w:rsidRDefault="0003302E">
      <w:pPr>
        <w:numPr>
          <w:ilvl w:val="0"/>
          <w:numId w:val="3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标注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b/>
          <w:sz w:val="22"/>
        </w:rPr>
        <w:t>2021—2025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为</w:t>
      </w:r>
      <w:r>
        <w:rPr>
          <w:rFonts w:ascii="Arial" w:eastAsia="等线" w:hAnsi="Arial" w:cs="Arial"/>
          <w:b/>
          <w:sz w:val="22"/>
        </w:rPr>
        <w:t>超高频必背</w:t>
      </w:r>
      <w:r>
        <w:rPr>
          <w:rFonts w:ascii="Arial" w:eastAsia="等线" w:hAnsi="Arial" w:cs="Arial"/>
          <w:sz w:val="22"/>
        </w:rPr>
        <w:t>，每年必考类似问答；</w:t>
      </w:r>
    </w:p>
    <w:p w14:paraId="5DC26944" w14:textId="77777777" w:rsidR="00C1155A" w:rsidRDefault="0003302E">
      <w:pPr>
        <w:numPr>
          <w:ilvl w:val="0"/>
          <w:numId w:val="3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答题建议：分点作答、关键词前置、数字和程序写完整；</w:t>
      </w:r>
    </w:p>
    <w:p w14:paraId="064D4D5E" w14:textId="77777777" w:rsidR="00C1155A" w:rsidRDefault="0003302E">
      <w:pPr>
        <w:numPr>
          <w:ilvl w:val="0"/>
          <w:numId w:val="4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可直接复制到</w:t>
      </w:r>
      <w:r>
        <w:rPr>
          <w:rFonts w:ascii="Arial" w:eastAsia="等线" w:hAnsi="Arial" w:cs="Arial"/>
          <w:sz w:val="22"/>
        </w:rPr>
        <w:t xml:space="preserve"> Word</w:t>
      </w:r>
      <w:r>
        <w:rPr>
          <w:rFonts w:ascii="Arial" w:eastAsia="等线" w:hAnsi="Arial" w:cs="Arial"/>
          <w:sz w:val="22"/>
        </w:rPr>
        <w:t>，排版后即可打印背诵。</w:t>
      </w:r>
    </w:p>
    <w:sectPr w:rsidR="00C1155A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D862C" w14:textId="77777777" w:rsidR="0003302E" w:rsidRDefault="0003302E">
      <w:r>
        <w:separator/>
      </w:r>
    </w:p>
  </w:endnote>
  <w:endnote w:type="continuationSeparator" w:id="0">
    <w:p w14:paraId="278580A1" w14:textId="77777777" w:rsidR="0003302E" w:rsidRDefault="00033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F20D8" w14:textId="77777777" w:rsidR="0003302E" w:rsidRDefault="0003302E">
      <w:r>
        <w:separator/>
      </w:r>
    </w:p>
  </w:footnote>
  <w:footnote w:type="continuationSeparator" w:id="0">
    <w:p w14:paraId="65F80DA2" w14:textId="77777777" w:rsidR="0003302E" w:rsidRDefault="00033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F32"/>
    <w:multiLevelType w:val="multilevel"/>
    <w:tmpl w:val="EF8EDCC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F0148B"/>
    <w:multiLevelType w:val="multilevel"/>
    <w:tmpl w:val="86FCE25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ED7717"/>
    <w:multiLevelType w:val="multilevel"/>
    <w:tmpl w:val="0934518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370404"/>
    <w:multiLevelType w:val="multilevel"/>
    <w:tmpl w:val="6B08745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EA43C0"/>
    <w:multiLevelType w:val="multilevel"/>
    <w:tmpl w:val="C3A62D2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BC1F91"/>
    <w:multiLevelType w:val="multilevel"/>
    <w:tmpl w:val="85FEC21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C32C0D"/>
    <w:multiLevelType w:val="multilevel"/>
    <w:tmpl w:val="613CBCB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E16FCF"/>
    <w:multiLevelType w:val="multilevel"/>
    <w:tmpl w:val="6AB87DC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2814C5"/>
    <w:multiLevelType w:val="multilevel"/>
    <w:tmpl w:val="F7C49E5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6F0BE7"/>
    <w:multiLevelType w:val="multilevel"/>
    <w:tmpl w:val="97E8094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8244CE"/>
    <w:multiLevelType w:val="multilevel"/>
    <w:tmpl w:val="AEA6CAB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19477C"/>
    <w:multiLevelType w:val="multilevel"/>
    <w:tmpl w:val="6A1E7D5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572141"/>
    <w:multiLevelType w:val="multilevel"/>
    <w:tmpl w:val="F26A77A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96A7CB4"/>
    <w:multiLevelType w:val="multilevel"/>
    <w:tmpl w:val="B028A30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BF75CF2"/>
    <w:multiLevelType w:val="multilevel"/>
    <w:tmpl w:val="E0E2D8C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484D2F"/>
    <w:multiLevelType w:val="multilevel"/>
    <w:tmpl w:val="80EA1F1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F81154C"/>
    <w:multiLevelType w:val="multilevel"/>
    <w:tmpl w:val="4DE6E042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FFE6F9B"/>
    <w:multiLevelType w:val="multilevel"/>
    <w:tmpl w:val="CED2E3D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FC451C"/>
    <w:multiLevelType w:val="multilevel"/>
    <w:tmpl w:val="20FCDBA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B0B56E4"/>
    <w:multiLevelType w:val="multilevel"/>
    <w:tmpl w:val="655E5A0A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235814"/>
    <w:multiLevelType w:val="multilevel"/>
    <w:tmpl w:val="93580AA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EBE3613"/>
    <w:multiLevelType w:val="multilevel"/>
    <w:tmpl w:val="4DF2C7F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ED07C6E"/>
    <w:multiLevelType w:val="multilevel"/>
    <w:tmpl w:val="B4D6FF2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EFE519C"/>
    <w:multiLevelType w:val="multilevel"/>
    <w:tmpl w:val="415602A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862BB3"/>
    <w:multiLevelType w:val="multilevel"/>
    <w:tmpl w:val="4482AFF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0664FCF"/>
    <w:multiLevelType w:val="multilevel"/>
    <w:tmpl w:val="F8A2215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3095FCB"/>
    <w:multiLevelType w:val="multilevel"/>
    <w:tmpl w:val="54406B9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4640225"/>
    <w:multiLevelType w:val="multilevel"/>
    <w:tmpl w:val="F698E15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4984ED7"/>
    <w:multiLevelType w:val="multilevel"/>
    <w:tmpl w:val="A0B014D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55210F5"/>
    <w:multiLevelType w:val="multilevel"/>
    <w:tmpl w:val="77CC607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DC24C17"/>
    <w:multiLevelType w:val="multilevel"/>
    <w:tmpl w:val="A4D6133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9F13DFF"/>
    <w:multiLevelType w:val="multilevel"/>
    <w:tmpl w:val="47F263A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EAA645B"/>
    <w:multiLevelType w:val="multilevel"/>
    <w:tmpl w:val="78D63ED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07C3712"/>
    <w:multiLevelType w:val="multilevel"/>
    <w:tmpl w:val="F86C0FD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AC199A"/>
    <w:multiLevelType w:val="multilevel"/>
    <w:tmpl w:val="CF28EF4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F80B5C"/>
    <w:multiLevelType w:val="multilevel"/>
    <w:tmpl w:val="DA7E9F9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C5B2642"/>
    <w:multiLevelType w:val="multilevel"/>
    <w:tmpl w:val="C910E29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C66586F"/>
    <w:multiLevelType w:val="multilevel"/>
    <w:tmpl w:val="DCC4036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FE33739"/>
    <w:multiLevelType w:val="multilevel"/>
    <w:tmpl w:val="AD8C88A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5DC5915"/>
    <w:multiLevelType w:val="multilevel"/>
    <w:tmpl w:val="A968A18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9"/>
  </w:num>
  <w:num w:numId="3">
    <w:abstractNumId w:val="22"/>
  </w:num>
  <w:num w:numId="4">
    <w:abstractNumId w:val="5"/>
  </w:num>
  <w:num w:numId="5">
    <w:abstractNumId w:val="20"/>
  </w:num>
  <w:num w:numId="6">
    <w:abstractNumId w:val="34"/>
  </w:num>
  <w:num w:numId="7">
    <w:abstractNumId w:val="18"/>
  </w:num>
  <w:num w:numId="8">
    <w:abstractNumId w:val="16"/>
  </w:num>
  <w:num w:numId="9">
    <w:abstractNumId w:val="37"/>
  </w:num>
  <w:num w:numId="10">
    <w:abstractNumId w:val="32"/>
  </w:num>
  <w:num w:numId="11">
    <w:abstractNumId w:val="7"/>
  </w:num>
  <w:num w:numId="12">
    <w:abstractNumId w:val="12"/>
  </w:num>
  <w:num w:numId="13">
    <w:abstractNumId w:val="26"/>
  </w:num>
  <w:num w:numId="14">
    <w:abstractNumId w:val="29"/>
  </w:num>
  <w:num w:numId="15">
    <w:abstractNumId w:val="4"/>
  </w:num>
  <w:num w:numId="16">
    <w:abstractNumId w:val="0"/>
  </w:num>
  <w:num w:numId="17">
    <w:abstractNumId w:val="23"/>
  </w:num>
  <w:num w:numId="18">
    <w:abstractNumId w:val="27"/>
  </w:num>
  <w:num w:numId="19">
    <w:abstractNumId w:val="3"/>
  </w:num>
  <w:num w:numId="20">
    <w:abstractNumId w:val="6"/>
  </w:num>
  <w:num w:numId="21">
    <w:abstractNumId w:val="31"/>
  </w:num>
  <w:num w:numId="22">
    <w:abstractNumId w:val="25"/>
  </w:num>
  <w:num w:numId="23">
    <w:abstractNumId w:val="9"/>
  </w:num>
  <w:num w:numId="24">
    <w:abstractNumId w:val="24"/>
  </w:num>
  <w:num w:numId="25">
    <w:abstractNumId w:val="14"/>
  </w:num>
  <w:num w:numId="26">
    <w:abstractNumId w:val="36"/>
  </w:num>
  <w:num w:numId="27">
    <w:abstractNumId w:val="28"/>
  </w:num>
  <w:num w:numId="28">
    <w:abstractNumId w:val="11"/>
  </w:num>
  <w:num w:numId="29">
    <w:abstractNumId w:val="8"/>
  </w:num>
  <w:num w:numId="30">
    <w:abstractNumId w:val="30"/>
  </w:num>
  <w:num w:numId="31">
    <w:abstractNumId w:val="13"/>
  </w:num>
  <w:num w:numId="32">
    <w:abstractNumId w:val="38"/>
  </w:num>
  <w:num w:numId="33">
    <w:abstractNumId w:val="10"/>
  </w:num>
  <w:num w:numId="34">
    <w:abstractNumId w:val="21"/>
  </w:num>
  <w:num w:numId="35">
    <w:abstractNumId w:val="33"/>
  </w:num>
  <w:num w:numId="36">
    <w:abstractNumId w:val="1"/>
  </w:num>
  <w:num w:numId="37">
    <w:abstractNumId w:val="35"/>
  </w:num>
  <w:num w:numId="38">
    <w:abstractNumId w:val="17"/>
  </w:num>
  <w:num w:numId="39">
    <w:abstractNumId w:val="2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55A"/>
    <w:rsid w:val="0003302E"/>
    <w:rsid w:val="00B13233"/>
    <w:rsid w:val="00C1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1B170"/>
  <w15:docId w15:val="{9A942719-F35D-4A3D-8B03-14DB8BCBE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2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323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32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32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aicivil</dc:creator>
  <cp:revision>2</cp:revision>
  <dcterms:created xsi:type="dcterms:W3CDTF">2026-04-20T03:20:00Z</dcterms:created>
  <dcterms:modified xsi:type="dcterms:W3CDTF">2026-04-20T03:22:00Z</dcterms:modified>
</cp:coreProperties>
</file>